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36005</w:instrText>
      </w:r>
      <w:r>
        <w:rPr>
          <w:rFonts w:ascii="Garamond" w:hAnsi="Garamond"/>
          <w:bCs/>
        </w:rPr>
        <w:instrText xml:space="preserve"> &lt;&gt; "" "</w:instrText>
      </w:r>
      <w:r>
        <w:rPr>
          <w:rFonts w:ascii="Garamond" w:hAnsi="Garamond"/>
          <w:bCs/>
        </w:rPr>
        <w:instrText>2024 Pediatric Grand Rounds On Demand</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2024 Pediatric Grand Rounds On Demand</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June 27,</w:t>
      </w:r>
      <w:r>
        <w:rPr>
          <w:rFonts w:ascii="Garamond" w:hAnsi="Garamond"/>
          <w:bCs/>
        </w:rPr>
        <w:t xml:space="preserve"> 2024 - 12:00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36005</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2024 PGROD: Unveiling the True Colors of the Skin: Clinical Implications &amp; Health Disparities in Cutaneous Conditions by Esteban Fernandez Faith, MD</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2024 PGROD: Unveiling the True Colors of the Skin: Clinical Implications &amp; Health Disparities in Cutaneous Conditions by Esteban Fernandez Faith, MD</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Esteban Fernandez Faith,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Fee-Pierre Fabre - 06/21/2024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Distinguish differences in the clinical presentation of common skin conditions in patients with skin of color</w:instrText>
      </w:r>
    </w:p>
    <w:p w:rsidR="004777F1">
      <w:pPr>
        <w:bidi w:val="0"/>
        <w:spacing w:after="280" w:afterAutospacing="1"/>
        <w:rPr>
          <w:rFonts w:ascii="Garamond" w:hAnsi="Garamond"/>
          <w:sz w:val="22"/>
          <w:szCs w:val="22"/>
        </w:rPr>
      </w:pPr>
      <w:r>
        <w:rPr>
          <w:rFonts w:ascii="Garamond" w:hAnsi="Garamond"/>
          <w:sz w:val="22"/>
          <w:szCs w:val="22"/>
        </w:rPr>
        <w:instrText>2 Identify health disparities affecting patients with dermatologic conditions</w:instrText>
      </w:r>
    </w:p>
    <w:p w:rsidR="004777F1">
      <w:pPr>
        <w:bidi w:val="0"/>
        <w:spacing w:after="280" w:afterAutospacing="1"/>
        <w:rPr>
          <w:rFonts w:ascii="Garamond" w:hAnsi="Garamond"/>
          <w:sz w:val="22"/>
          <w:szCs w:val="22"/>
        </w:rPr>
      </w:pPr>
      <w:r>
        <w:rPr>
          <w:rFonts w:ascii="Garamond" w:hAnsi="Garamond"/>
          <w:sz w:val="22"/>
          <w:szCs w:val="22"/>
        </w:rPr>
        <w:instrText>3 Recognize the importance of sun protection and sun protection education in pediatric patients and patients with skin of color</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Distinguish differences in the clinical presentation of common skin conditions in patients with skin of color</w:instrText>
      </w:r>
    </w:p>
    <w:p w:rsidP="004777F1">
      <w:pPr>
        <w:ind w:left="540" w:hanging="180"/>
        <w:rPr>
          <w:rFonts w:ascii="Garamond" w:hAnsi="Garamond"/>
          <w:sz w:val="22"/>
          <w:szCs w:val="22"/>
        </w:rPr>
      </w:pPr>
      <w:r>
        <w:rPr>
          <w:rFonts w:ascii="Garamond" w:hAnsi="Garamond"/>
          <w:sz w:val="22"/>
          <w:szCs w:val="22"/>
        </w:rPr>
        <w:instrText>2 Identify health disparities affecting patients with dermatologic conditions</w:instrText>
      </w:r>
    </w:p>
    <w:p w:rsidP="004777F1">
      <w:pPr>
        <w:ind w:left="540" w:hanging="180"/>
        <w:rPr>
          <w:rFonts w:ascii="Garamond" w:hAnsi="Garamond"/>
          <w:sz w:val="22"/>
          <w:szCs w:val="22"/>
        </w:rPr>
      </w:pPr>
      <w:r>
        <w:rPr>
          <w:rFonts w:ascii="Garamond" w:hAnsi="Garamond"/>
          <w:sz w:val="22"/>
          <w:szCs w:val="22"/>
        </w:rPr>
        <w:instrText>3 Recognize the importance of sun protection and sun protection education in pediatric patients and patients with skin of color</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Distinguish differences in the clinical presentation of common skin conditions in patients with skin of color</w:t>
      </w:r>
    </w:p>
    <w:p w:rsidP="004777F1">
      <w:pPr>
        <w:ind w:left="540" w:hanging="180"/>
        <w:rPr>
          <w:rFonts w:ascii="Garamond" w:hAnsi="Garamond"/>
          <w:sz w:val="22"/>
          <w:szCs w:val="22"/>
        </w:rPr>
      </w:pPr>
      <w:r>
        <w:rPr>
          <w:rFonts w:ascii="Garamond" w:hAnsi="Garamond"/>
          <w:sz w:val="22"/>
          <w:szCs w:val="22"/>
        </w:rPr>
        <w:t>2 Identify health disparities affecting patients with dermatologic conditions</w:t>
      </w:r>
    </w:p>
    <w:p w:rsidR="004777F1" w:rsidP="004777F1">
      <w:pPr>
        <w:ind w:left="540" w:hanging="180"/>
        <w:rPr>
          <w:rFonts w:ascii="Garamond" w:hAnsi="Garamond"/>
          <w:sz w:val="22"/>
          <w:szCs w:val="22"/>
        </w:rPr>
      </w:pPr>
      <w:r>
        <w:rPr>
          <w:rFonts w:ascii="Garamond" w:hAnsi="Garamond"/>
          <w:sz w:val="22"/>
          <w:szCs w:val="22"/>
        </w:rPr>
        <w:t>3 Recognize the importance of sun protection and sun protection education in pediatric patients and patients with skin of color</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1.00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22791197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764528737"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28192185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