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34434</w:instrText>
      </w:r>
      <w:r>
        <w:rPr>
          <w:rFonts w:ascii="Garamond" w:hAnsi="Garamond"/>
          <w:bCs/>
        </w:rPr>
        <w:instrText xml:space="preserve"> &lt;&gt; "" "</w:instrText>
      </w:r>
      <w:r>
        <w:rPr>
          <w:rFonts w:ascii="Garamond" w:hAnsi="Garamond"/>
          <w:bCs/>
        </w:rPr>
        <w:instrText>Urgent Care Network Bite Size Learning- Online</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Urgent Care Network Bite Size Learning- Online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May 23,</w:t>
      </w:r>
      <w:r>
        <w:rPr>
          <w:rFonts w:ascii="Garamond" w:hAnsi="Garamond"/>
          <w:bCs/>
        </w:rPr>
        <w:t xml:space="preserve"> 2024 - 8:00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34434</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Urgent Care Bite Size Learning: Child Life</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Urgent Care Bite Size Learning: Child Life</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Luciana 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Sheila Giles, BSN, CPN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Kovalcik,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Rogers , M.Ed. , CCLS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Margaret Redmond,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Patrick,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Lindsay Brott,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Hollar,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Jaclyn Huffman, RN, CPEN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Renee Owen,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Understand the role of Certified Child Life Specialists</w:instrText>
      </w:r>
    </w:p>
    <w:p w:rsidR="004777F1">
      <w:pPr>
        <w:bidi w:val="0"/>
        <w:spacing w:after="280" w:afterAutospacing="1"/>
        <w:rPr>
          <w:rFonts w:ascii="Garamond" w:hAnsi="Garamond"/>
          <w:sz w:val="22"/>
          <w:szCs w:val="22"/>
        </w:rPr>
      </w:pPr>
      <w:r>
        <w:rPr>
          <w:rFonts w:ascii="Garamond" w:hAnsi="Garamond"/>
          <w:sz w:val="22"/>
          <w:szCs w:val="22"/>
        </w:rPr>
        <w:instrText>2 Outline clinical components of emotional safety</w:instrText>
      </w:r>
    </w:p>
    <w:p w:rsidR="004777F1">
      <w:pPr>
        <w:bidi w:val="0"/>
        <w:spacing w:after="280" w:afterAutospacing="1"/>
        <w:rPr>
          <w:rFonts w:ascii="Garamond" w:hAnsi="Garamond"/>
          <w:sz w:val="22"/>
          <w:szCs w:val="22"/>
        </w:rPr>
      </w:pPr>
      <w:r>
        <w:rPr>
          <w:rFonts w:ascii="Garamond" w:hAnsi="Garamond"/>
          <w:sz w:val="22"/>
          <w:szCs w:val="22"/>
        </w:rPr>
        <w:instrText>3 Discuss the clinical implications of emotional harm</w:instrText>
      </w:r>
    </w:p>
    <w:p w:rsidR="004777F1">
      <w:pPr>
        <w:bidi w:val="0"/>
        <w:spacing w:after="280" w:afterAutospacing="1"/>
        <w:rPr>
          <w:rFonts w:ascii="Garamond" w:hAnsi="Garamond"/>
          <w:sz w:val="22"/>
          <w:szCs w:val="22"/>
        </w:rPr>
      </w:pPr>
      <w:r>
        <w:rPr>
          <w:rFonts w:ascii="Garamond" w:hAnsi="Garamond"/>
          <w:sz w:val="22"/>
          <w:szCs w:val="22"/>
        </w:rPr>
        <w:instrText>4 Identify strategies to help children and families cope with medical procedures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Understand the role of Certified Child Life Specialists</w:instrText>
      </w:r>
    </w:p>
    <w:p w:rsidP="004777F1">
      <w:pPr>
        <w:ind w:left="540" w:hanging="180"/>
        <w:rPr>
          <w:rFonts w:ascii="Garamond" w:hAnsi="Garamond"/>
          <w:sz w:val="22"/>
          <w:szCs w:val="22"/>
        </w:rPr>
      </w:pPr>
      <w:r>
        <w:rPr>
          <w:rFonts w:ascii="Garamond" w:hAnsi="Garamond"/>
          <w:sz w:val="22"/>
          <w:szCs w:val="22"/>
        </w:rPr>
        <w:instrText>2 Outline clinical components of emotional safety</w:instrText>
      </w:r>
    </w:p>
    <w:p w:rsidP="004777F1">
      <w:pPr>
        <w:ind w:left="540" w:hanging="180"/>
        <w:rPr>
          <w:rFonts w:ascii="Garamond" w:hAnsi="Garamond"/>
          <w:sz w:val="22"/>
          <w:szCs w:val="22"/>
        </w:rPr>
      </w:pPr>
      <w:r>
        <w:rPr>
          <w:rFonts w:ascii="Garamond" w:hAnsi="Garamond"/>
          <w:sz w:val="22"/>
          <w:szCs w:val="22"/>
        </w:rPr>
        <w:instrText>3 Discuss the clinical implications of emotional harm</w:instrText>
      </w:r>
    </w:p>
    <w:p w:rsidP="004777F1">
      <w:pPr>
        <w:ind w:left="540" w:hanging="180"/>
        <w:rPr>
          <w:rFonts w:ascii="Garamond" w:hAnsi="Garamond"/>
          <w:sz w:val="22"/>
          <w:szCs w:val="22"/>
        </w:rPr>
      </w:pPr>
      <w:r>
        <w:rPr>
          <w:rFonts w:ascii="Garamond" w:hAnsi="Garamond"/>
          <w:sz w:val="22"/>
          <w:szCs w:val="22"/>
        </w:rPr>
        <w:instrText>4 Identify strategies to help children and families cope with medical procedures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Understand the role of Certified Child Life Specialists</w:t>
      </w:r>
    </w:p>
    <w:p w:rsidP="004777F1">
      <w:pPr>
        <w:ind w:left="540" w:hanging="180"/>
        <w:rPr>
          <w:rFonts w:ascii="Garamond" w:hAnsi="Garamond"/>
          <w:sz w:val="22"/>
          <w:szCs w:val="22"/>
        </w:rPr>
      </w:pPr>
      <w:r>
        <w:rPr>
          <w:rFonts w:ascii="Garamond" w:hAnsi="Garamond"/>
          <w:sz w:val="22"/>
          <w:szCs w:val="22"/>
        </w:rPr>
        <w:t>2 Outline clinical components of emotional safety</w:t>
      </w:r>
    </w:p>
    <w:p w:rsidP="004777F1">
      <w:pPr>
        <w:ind w:left="540" w:hanging="180"/>
        <w:rPr>
          <w:rFonts w:ascii="Garamond" w:hAnsi="Garamond"/>
          <w:sz w:val="22"/>
          <w:szCs w:val="22"/>
        </w:rPr>
      </w:pPr>
      <w:r>
        <w:rPr>
          <w:rFonts w:ascii="Garamond" w:hAnsi="Garamond"/>
          <w:sz w:val="22"/>
          <w:szCs w:val="22"/>
        </w:rPr>
        <w:t>3 Discuss the clinical implications of emotional harm</w:t>
      </w:r>
    </w:p>
    <w:p w:rsidR="004777F1" w:rsidP="004777F1">
      <w:pPr>
        <w:ind w:left="540" w:hanging="180"/>
        <w:rPr>
          <w:rFonts w:ascii="Garamond" w:hAnsi="Garamond"/>
          <w:sz w:val="22"/>
          <w:szCs w:val="22"/>
        </w:rPr>
      </w:pPr>
      <w:r>
        <w:rPr>
          <w:rFonts w:ascii="Garamond" w:hAnsi="Garamond"/>
          <w:sz w:val="22"/>
          <w:szCs w:val="22"/>
        </w:rPr>
        <w:t>4 Identify strategies to help children and families cope with medical procedures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