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Behavioral Health Webinar for Primary Care Series on Demand: Stressing Over PTSD: How to Recognize and Treat</w:instrText>
      </w:r>
      <w:r>
        <w:rPr>
          <w:rFonts w:ascii="Garamond" w:hAnsi="Garamond"/>
          <w:bCs/>
        </w:rPr>
        <w:instrText xml:space="preserve">" </w:instrText>
      </w:r>
      <w:r>
        <w:rPr>
          <w:rFonts w:ascii="Garamond" w:hAnsi="Garamond"/>
          <w:bCs/>
        </w:rPr>
        <w:fldChar w:fldCharType="separate"/>
      </w:r>
      <w:r>
        <w:rPr>
          <w:rFonts w:ascii="Garamond" w:hAnsi="Garamond"/>
          <w:bCs/>
        </w:rPr>
        <w:t>Behavioral Health Webinar for Primary Care Series on Demand: Stressing Over PTSD: How to Recognize and Treat</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April 10,</w:t>
      </w:r>
      <w:r>
        <w:rPr>
          <w:rFonts w:ascii="Garamond" w:hAnsi="Garamond"/>
          <w:bCs/>
        </w:rPr>
        <w:t xml:space="preserve"> 2024 - 9:00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Taylor Hendricks-Johnson,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- 10/24/2023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Review trauma and how it presents</w:instrText>
      </w:r>
    </w:p>
    <w:p w:rsidR="004777F1">
      <w:pPr>
        <w:bidi w:val="0"/>
        <w:spacing w:after="280" w:afterAutospacing="1"/>
        <w:rPr>
          <w:rFonts w:ascii="Garamond" w:hAnsi="Garamond"/>
          <w:sz w:val="22"/>
          <w:szCs w:val="22"/>
        </w:rPr>
      </w:pPr>
      <w:r>
        <w:rPr>
          <w:rFonts w:ascii="Garamond" w:hAnsi="Garamond"/>
          <w:sz w:val="22"/>
          <w:szCs w:val="22"/>
        </w:rPr>
        <w:instrText>1 Explore common misconceptions of trauma and PTSD</w:instrText>
      </w:r>
    </w:p>
    <w:p w:rsidR="004777F1">
      <w:pPr>
        <w:bidi w:val="0"/>
        <w:spacing w:after="280" w:afterAutospacing="1"/>
        <w:rPr>
          <w:rFonts w:ascii="Garamond" w:hAnsi="Garamond"/>
          <w:sz w:val="22"/>
          <w:szCs w:val="22"/>
        </w:rPr>
      </w:pPr>
      <w:r>
        <w:rPr>
          <w:rFonts w:ascii="Garamond" w:hAnsi="Garamond"/>
          <w:sz w:val="22"/>
          <w:szCs w:val="22"/>
        </w:rPr>
        <w:instrText>2 Discuss appropriate treatment for children with trauma</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Review trauma and how it presents</w:instrText>
      </w:r>
    </w:p>
    <w:p w:rsidP="004777F1">
      <w:pPr>
        <w:ind w:left="540" w:hanging="180"/>
        <w:rPr>
          <w:rFonts w:ascii="Garamond" w:hAnsi="Garamond"/>
          <w:sz w:val="22"/>
          <w:szCs w:val="22"/>
        </w:rPr>
      </w:pPr>
      <w:r>
        <w:rPr>
          <w:rFonts w:ascii="Garamond" w:hAnsi="Garamond"/>
          <w:sz w:val="22"/>
          <w:szCs w:val="22"/>
        </w:rPr>
        <w:instrText>1 Explore common misconceptions of trauma and PTSD</w:instrText>
      </w:r>
    </w:p>
    <w:p w:rsidP="004777F1">
      <w:pPr>
        <w:ind w:left="540" w:hanging="180"/>
        <w:rPr>
          <w:rFonts w:ascii="Garamond" w:hAnsi="Garamond"/>
          <w:sz w:val="22"/>
          <w:szCs w:val="22"/>
        </w:rPr>
      </w:pPr>
      <w:r>
        <w:rPr>
          <w:rFonts w:ascii="Garamond" w:hAnsi="Garamond"/>
          <w:sz w:val="22"/>
          <w:szCs w:val="22"/>
        </w:rPr>
        <w:instrText>2 Discuss appropriate treatment for children with trauma</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Review trauma and how it presents</w:t>
      </w:r>
    </w:p>
    <w:p w:rsidP="004777F1">
      <w:pPr>
        <w:ind w:left="540" w:hanging="180"/>
        <w:rPr>
          <w:rFonts w:ascii="Garamond" w:hAnsi="Garamond"/>
          <w:sz w:val="22"/>
          <w:szCs w:val="22"/>
        </w:rPr>
      </w:pPr>
      <w:r>
        <w:rPr>
          <w:rFonts w:ascii="Garamond" w:hAnsi="Garamond"/>
          <w:sz w:val="22"/>
          <w:szCs w:val="22"/>
        </w:rPr>
        <w:t>1 Explore common misconceptions of trauma and PTSD</w:t>
      </w:r>
    </w:p>
    <w:p w:rsidR="004777F1" w:rsidP="004777F1">
      <w:pPr>
        <w:ind w:left="540" w:hanging="180"/>
        <w:rPr>
          <w:rFonts w:ascii="Garamond" w:hAnsi="Garamond"/>
          <w:sz w:val="22"/>
          <w:szCs w:val="22"/>
        </w:rPr>
      </w:pPr>
      <w:r>
        <w:rPr>
          <w:rFonts w:ascii="Garamond" w:hAnsi="Garamond"/>
          <w:sz w:val="22"/>
          <w:szCs w:val="22"/>
        </w:rPr>
        <w:t>2 Discuss appropriate treatment for children with trauma</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