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19457</w:instrText>
      </w:r>
      <w:r>
        <w:rPr>
          <w:rFonts w:ascii="Garamond" w:hAnsi="Garamond"/>
          <w:bCs/>
        </w:rPr>
        <w:instrText xml:space="preserve"> &lt;&gt; "" "</w:instrText>
      </w:r>
      <w:r>
        <w:rPr>
          <w:rFonts w:ascii="Garamond" w:hAnsi="Garamond"/>
          <w:bCs/>
        </w:rPr>
        <w:instrText>Neonatal APP Monthly Education Series Online Recording Version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Neonatal APP Monthly Education Series Online Recording Version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6,</w:t>
      </w:r>
      <w:r>
        <w:rPr>
          <w:rFonts w:ascii="Garamond" w:hAnsi="Garamond"/>
          <w:bCs/>
        </w:rPr>
        <w:t xml:space="preserve"> 2024 - 3:10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19457</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NCH 2024 Neonatal APP Monthly Education Series Online Version- Capstone Presentations</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NCH 2024 Neonatal APP Monthly Education Series Online Version- Capstone Presentations</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Z Kelly,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Rheadon Remy,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Caitlyn Bagnola,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- 02/12/2024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R="004777F1">
      <w:pPr>
        <w:bidi w:val="0"/>
        <w:spacing w:after="280" w:afterAutospacing="1"/>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R="004777F1">
      <w:pPr>
        <w:bidi w:val="0"/>
        <w:spacing w:after="280" w:afterAutospacing="1"/>
        <w:rPr>
          <w:rFonts w:ascii="Garamond" w:hAnsi="Garamond"/>
          <w:sz w:val="22"/>
          <w:szCs w:val="22"/>
        </w:rPr>
      </w:pPr>
      <w:r>
        <w:rPr>
          <w:rFonts w:ascii="Garamond" w:hAnsi="Garamond"/>
          <w:sz w:val="22"/>
          <w:szCs w:val="22"/>
        </w:rPr>
        <w:instrText>3 1.</w:instrText>
        <w:tab/>
        <w:instrText>Selection and implementation of appropriate EBP treatment modalities related to specific neonatal conditions</w:instrText>
      </w:r>
    </w:p>
    <w:p w:rsidR="004777F1">
      <w:pPr>
        <w:bidi w:val="0"/>
        <w:spacing w:after="280" w:afterAutospacing="1"/>
        <w:rPr>
          <w:rFonts w:ascii="Garamond" w:hAnsi="Garamond"/>
          <w:sz w:val="22"/>
          <w:szCs w:val="22"/>
        </w:rPr>
      </w:pPr>
      <w:r>
        <w:rPr>
          <w:rFonts w:ascii="Garamond" w:hAnsi="Garamond"/>
          <w:sz w:val="22"/>
          <w:szCs w:val="22"/>
        </w:rPr>
        <w:instrText>3 2.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p>
    <w:p w:rsidP="004777F1">
      <w:pPr>
        <w:ind w:left="540" w:hanging="180"/>
        <w:rPr>
          <w:rFonts w:ascii="Garamond" w:hAnsi="Garamond"/>
          <w:sz w:val="22"/>
          <w:szCs w:val="22"/>
        </w:rPr>
      </w:pPr>
      <w:r>
        <w:rPr>
          <w:rFonts w:ascii="Garamond" w:hAnsi="Garamond"/>
          <w:sz w:val="22"/>
          <w:szCs w:val="22"/>
        </w:rPr>
        <w:instrText>3 1.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3 2.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P="004777F1">
      <w:pPr>
        <w:ind w:left="540" w:hanging="180"/>
        <w:rPr>
          <w:rFonts w:ascii="Garamond" w:hAnsi="Garamond"/>
          <w:sz w:val="22"/>
          <w:szCs w:val="22"/>
        </w:rPr>
      </w:pPr>
      <w:r>
        <w:rPr>
          <w:rFonts w:ascii="Garamond" w:hAnsi="Garamond"/>
          <w:sz w:val="22"/>
          <w:szCs w:val="22"/>
        </w:rPr>
        <w:t>1 1.</w:t>
        <w:tab/>
        <w:t>Selection and implementation of appropriate EBP treatment modalities related to specific neonatal conditions</w:t>
      </w:r>
    </w:p>
    <w:p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p>
    <w:p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p>
    <w:p w:rsidP="004777F1">
      <w:pPr>
        <w:ind w:left="540" w:hanging="180"/>
        <w:rPr>
          <w:rFonts w:ascii="Garamond" w:hAnsi="Garamond"/>
          <w:sz w:val="22"/>
          <w:szCs w:val="22"/>
        </w:rPr>
      </w:pPr>
      <w:r>
        <w:rPr>
          <w:rFonts w:ascii="Garamond" w:hAnsi="Garamond"/>
          <w:sz w:val="22"/>
          <w:szCs w:val="22"/>
        </w:rPr>
        <w:t>3 1.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3 2.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rPr>
      </w:pPr>
      <w:r>
        <w:rPr>
          <w:rFonts w:ascii="Garamond" w:hAnsi="Garamond"/>
          <w:b/>
          <w:bCs/>
        </w:rPr>
        <w:t>ANCC Learning Outcomes: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Pharmacist Objectives: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1 1.</w:instrText>
        <w:tab/>
        <w:instrText>Selection and implementation of appropriate EBP treatment modalities related to specific neonatal conditions</w:instrText>
      </w:r>
    </w:p>
    <w:p w:rsidR="004777F1"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1 1.</w:instrText>
        <w:tab/>
        <w:instrText>Selection and implementation of appropriate EBP treatment modalities related to specific neonatal conditions</w:instrText>
      </w:r>
    </w:p>
    <w:p w:rsidP="004777F1">
      <w:pPr>
        <w:ind w:left="540" w:hanging="180"/>
        <w:rPr>
          <w:rFonts w:ascii="Garamond" w:hAnsi="Garamond"/>
          <w:sz w:val="22"/>
          <w:szCs w:val="22"/>
        </w:rPr>
      </w:pPr>
      <w:r>
        <w:rPr>
          <w:rFonts w:ascii="Garamond" w:hAnsi="Garamond"/>
          <w:sz w:val="22"/>
          <w:szCs w:val="22"/>
        </w:rPr>
        <w:instrText>2 2.</w:instrText>
        <w:tab/>
        <w:instrText xml:space="preserve">Identify inter-professional resources available to support the delivery of EBP neonatal care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Pharmacy Technician Objectives:</w: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1 1.</w:t>
        <w:tab/>
        <w:t>Selection and implementation of appropriate EBP treatment modalities related to specific neonatal conditions</w:t>
      </w:r>
    </w:p>
    <w:p w:rsidR="004777F1" w:rsidP="004777F1">
      <w:pPr>
        <w:ind w:left="540" w:hanging="180"/>
        <w:rPr>
          <w:rFonts w:ascii="Garamond" w:hAnsi="Garamond"/>
          <w:sz w:val="22"/>
          <w:szCs w:val="22"/>
        </w:rPr>
      </w:pPr>
      <w:r>
        <w:rPr>
          <w:rFonts w:ascii="Garamond" w:hAnsi="Garamond"/>
          <w:sz w:val="22"/>
          <w:szCs w:val="22"/>
        </w:rPr>
        <w:t>2 2.</w:t>
        <w:tab/>
        <w:t xml:space="preserve">Identify inter-professional resources available to support the delivery of EBP neonatal care </w:t>
      </w:r>
      <w:r>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2.00</w:instrText>
      </w:r>
      <w:r>
        <w:rPr>
          <w:sz w:val="20"/>
          <w:szCs w:val="20"/>
        </w:rPr>
        <w:instrText xml:space="preserve"> &gt; 0 "(</w:instrText>
      </w:r>
      <w:r>
        <w:rPr>
          <w:sz w:val="20"/>
          <w:szCs w:val="20"/>
        </w:rPr>
        <w:instrText>2.00</w:instrText>
      </w:r>
      <w:r>
        <w:rPr>
          <w:sz w:val="20"/>
          <w:szCs w:val="20"/>
        </w:rPr>
        <w:instrText xml:space="preserve"> ANCC contact hour(s)) " "" </w:instrText>
      </w:r>
      <w:r>
        <w:rPr>
          <w:sz w:val="20"/>
          <w:szCs w:val="20"/>
        </w:rPr>
        <w:fldChar w:fldCharType="separate"/>
      </w:r>
      <w:r>
        <w:rPr>
          <w:sz w:val="20"/>
          <w:szCs w:val="20"/>
        </w:rPr>
        <w:t>(</w:t>
      </w:r>
      <w:r>
        <w:rPr>
          <w:sz w:val="20"/>
          <w:szCs w:val="20"/>
        </w:rPr>
        <w:t>2.00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2.00</w:instrText>
      </w:r>
      <w:r>
        <w:rPr>
          <w:sz w:val="20"/>
          <w:szCs w:val="20"/>
        </w:rPr>
        <w:instrText xml:space="preserve"> &gt; 0 "(</w:instrText>
      </w:r>
      <w:r>
        <w:rPr>
          <w:sz w:val="20"/>
          <w:szCs w:val="20"/>
        </w:rPr>
        <w:instrText>2.00</w:instrText>
      </w:r>
      <w:r>
        <w:rPr>
          <w:sz w:val="20"/>
          <w:szCs w:val="20"/>
        </w:rPr>
        <w:instrText xml:space="preserve"> ACPE contact hour(s)) " "" </w:instrText>
      </w:r>
      <w:r>
        <w:rPr>
          <w:sz w:val="20"/>
          <w:szCs w:val="20"/>
        </w:rPr>
        <w:fldChar w:fldCharType="separate"/>
      </w:r>
      <w:r>
        <w:rPr>
          <w:sz w:val="20"/>
          <w:szCs w:val="20"/>
        </w:rPr>
        <w:t>(</w:t>
      </w:r>
      <w:r>
        <w:rPr>
          <w:sz w:val="20"/>
          <w:szCs w:val="20"/>
        </w:rPr>
        <w:t>2.00</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2.00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2.00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582273495"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2.00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