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3rd Annual Pediatric Dermatology Symposium</w:instrText>
      </w:r>
      <w:r>
        <w:rPr>
          <w:rFonts w:ascii="Garamond" w:hAnsi="Garamond"/>
          <w:bCs/>
        </w:rPr>
        <w:instrText xml:space="preserve">" </w:instrText>
      </w:r>
      <w:r>
        <w:rPr>
          <w:rFonts w:ascii="Garamond" w:hAnsi="Garamond"/>
          <w:bCs/>
        </w:rPr>
        <w:fldChar w:fldCharType="separate"/>
      </w:r>
      <w:r>
        <w:rPr>
          <w:rFonts w:ascii="Garamond" w:hAnsi="Garamond"/>
          <w:bCs/>
        </w:rPr>
        <w:t>3rd Annual Pediatric Dermatology Symposium</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October 18,</w:t>
      </w:r>
      <w:r>
        <w:rPr>
          <w:rFonts w:ascii="Garamond" w:hAnsi="Garamond"/>
          <w:bCs/>
        </w:rPr>
        <w:t xml:space="preserve"> 2024 - 8:30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Andrea E Bonny,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Katya Harfmann,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Mosser-Goldfarb,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Patricia Witman,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- 01/30/2024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Dempsey,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Esteban Fernandez Faith,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Brittany Kozy, APRN, CPNP-PC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 Williard,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- 01/31/2024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Mahwish Irfan,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Kolada, RN, DN-C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- 01/31/2024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Cheyenne Story,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Identify common pediatric dermatologic conditions</w:instrText>
      </w:r>
    </w:p>
    <w:p w:rsidR="004777F1">
      <w:pPr>
        <w:bidi w:val="0"/>
        <w:spacing w:after="280" w:afterAutospacing="1"/>
        <w:rPr>
          <w:rFonts w:ascii="Garamond" w:hAnsi="Garamond"/>
          <w:sz w:val="22"/>
          <w:szCs w:val="22"/>
        </w:rPr>
      </w:pPr>
      <w:r>
        <w:rPr>
          <w:rFonts w:ascii="Garamond" w:hAnsi="Garamond"/>
          <w:sz w:val="22"/>
          <w:szCs w:val="22"/>
        </w:rPr>
        <w:instrText>2 Describe skin manifestations of chronic disease</w:instrText>
      </w:r>
    </w:p>
    <w:p w:rsidR="004777F1">
      <w:pPr>
        <w:bidi w:val="0"/>
        <w:spacing w:after="280" w:afterAutospacing="1"/>
        <w:rPr>
          <w:rFonts w:ascii="Garamond" w:hAnsi="Garamond"/>
          <w:sz w:val="22"/>
          <w:szCs w:val="22"/>
        </w:rPr>
      </w:pPr>
      <w:r>
        <w:rPr>
          <w:rFonts w:ascii="Garamond" w:hAnsi="Garamond"/>
          <w:sz w:val="22"/>
          <w:szCs w:val="22"/>
        </w:rPr>
        <w:instrText>3 Integrate updated treatment recommendations for pediatric dermatologic conditions</w:instrText>
      </w:r>
    </w:p>
    <w:p w:rsidR="004777F1">
      <w:pPr>
        <w:bidi w:val="0"/>
        <w:spacing w:after="280" w:afterAutospacing="1"/>
        <w:rPr>
          <w:rFonts w:ascii="Garamond" w:hAnsi="Garamond"/>
          <w:sz w:val="22"/>
          <w:szCs w:val="22"/>
        </w:rPr>
      </w:pPr>
      <w:r>
        <w:rPr>
          <w:rFonts w:ascii="Garamond" w:hAnsi="Garamond"/>
          <w:sz w:val="22"/>
          <w:szCs w:val="22"/>
        </w:rPr>
        <w:instrText>4 Improve patient outcomes through interprofessional communication and care.</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Identify common pediatric dermatologic conditions</w:instrText>
      </w:r>
    </w:p>
    <w:p w:rsidP="004777F1">
      <w:pPr>
        <w:ind w:left="540" w:hanging="180"/>
        <w:rPr>
          <w:rFonts w:ascii="Garamond" w:hAnsi="Garamond"/>
          <w:sz w:val="22"/>
          <w:szCs w:val="22"/>
        </w:rPr>
      </w:pPr>
      <w:r>
        <w:rPr>
          <w:rFonts w:ascii="Garamond" w:hAnsi="Garamond"/>
          <w:sz w:val="22"/>
          <w:szCs w:val="22"/>
        </w:rPr>
        <w:instrText>2 Describe skin manifestations of chronic disease</w:instrText>
      </w:r>
    </w:p>
    <w:p w:rsidP="004777F1">
      <w:pPr>
        <w:ind w:left="540" w:hanging="180"/>
        <w:rPr>
          <w:rFonts w:ascii="Garamond" w:hAnsi="Garamond"/>
          <w:sz w:val="22"/>
          <w:szCs w:val="22"/>
        </w:rPr>
      </w:pPr>
      <w:r>
        <w:rPr>
          <w:rFonts w:ascii="Garamond" w:hAnsi="Garamond"/>
          <w:sz w:val="22"/>
          <w:szCs w:val="22"/>
        </w:rPr>
        <w:instrText>3 Integrate updated treatment recommendations for pediatric dermatologic conditions</w:instrText>
      </w:r>
    </w:p>
    <w:p w:rsidP="004777F1">
      <w:pPr>
        <w:ind w:left="540" w:hanging="180"/>
        <w:rPr>
          <w:rFonts w:ascii="Garamond" w:hAnsi="Garamond"/>
          <w:sz w:val="22"/>
          <w:szCs w:val="22"/>
        </w:rPr>
      </w:pPr>
      <w:r>
        <w:rPr>
          <w:rFonts w:ascii="Garamond" w:hAnsi="Garamond"/>
          <w:sz w:val="22"/>
          <w:szCs w:val="22"/>
        </w:rPr>
        <w:instrText>4 Improve patient outcomes through interprofessional communication and care.</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Identify common pediatric dermatologic conditions</w:t>
      </w:r>
    </w:p>
    <w:p w:rsidP="004777F1">
      <w:pPr>
        <w:ind w:left="540" w:hanging="180"/>
        <w:rPr>
          <w:rFonts w:ascii="Garamond" w:hAnsi="Garamond"/>
          <w:sz w:val="22"/>
          <w:szCs w:val="22"/>
        </w:rPr>
      </w:pPr>
      <w:r>
        <w:rPr>
          <w:rFonts w:ascii="Garamond" w:hAnsi="Garamond"/>
          <w:sz w:val="22"/>
          <w:szCs w:val="22"/>
        </w:rPr>
        <w:t>2 Describe skin manifestations of chronic disease</w:t>
      </w:r>
    </w:p>
    <w:p w:rsidP="004777F1">
      <w:pPr>
        <w:ind w:left="540" w:hanging="180"/>
        <w:rPr>
          <w:rFonts w:ascii="Garamond" w:hAnsi="Garamond"/>
          <w:sz w:val="22"/>
          <w:szCs w:val="22"/>
        </w:rPr>
      </w:pPr>
      <w:r>
        <w:rPr>
          <w:rFonts w:ascii="Garamond" w:hAnsi="Garamond"/>
          <w:sz w:val="22"/>
          <w:szCs w:val="22"/>
        </w:rPr>
        <w:t>3 Integrate updated treatment recommendations for pediatric dermatologic conditions</w:t>
      </w:r>
    </w:p>
    <w:p w:rsidR="004777F1" w:rsidP="004777F1">
      <w:pPr>
        <w:ind w:left="540" w:hanging="180"/>
        <w:rPr>
          <w:rFonts w:ascii="Garamond" w:hAnsi="Garamond"/>
          <w:sz w:val="22"/>
          <w:szCs w:val="22"/>
        </w:rPr>
      </w:pPr>
      <w:r>
        <w:rPr>
          <w:rFonts w:ascii="Garamond" w:hAnsi="Garamond"/>
          <w:sz w:val="22"/>
          <w:szCs w:val="22"/>
        </w:rPr>
        <w:t>4 Improve patient outcomes through interprofessional communication and care.</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6.50</w:instrText>
      </w:r>
      <w:r>
        <w:rPr>
          <w:sz w:val="20"/>
          <w:szCs w:val="20"/>
        </w:rPr>
        <w:instrText xml:space="preserve"> &gt; 0 "(</w:instrText>
      </w:r>
      <w:r>
        <w:rPr>
          <w:sz w:val="20"/>
          <w:szCs w:val="20"/>
        </w:rPr>
        <w:instrText>6.50</w:instrText>
      </w:r>
      <w:r>
        <w:rPr>
          <w:sz w:val="20"/>
          <w:szCs w:val="20"/>
        </w:rPr>
        <w:instrText xml:space="preserve"> ANCC contact hour(s)) " "" </w:instrText>
      </w:r>
      <w:r>
        <w:rPr>
          <w:sz w:val="20"/>
          <w:szCs w:val="20"/>
        </w:rPr>
        <w:fldChar w:fldCharType="separate"/>
      </w:r>
      <w:r>
        <w:rPr>
          <w:sz w:val="20"/>
          <w:szCs w:val="20"/>
        </w:rPr>
        <w:t>(</w:t>
      </w:r>
      <w:r>
        <w:rPr>
          <w:sz w:val="20"/>
          <w:szCs w:val="20"/>
        </w:rPr>
        <w:t>6.50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6.50</w:instrText>
      </w:r>
      <w:r>
        <w:rPr>
          <w:sz w:val="20"/>
          <w:szCs w:val="20"/>
        </w:rPr>
        <w:instrText xml:space="preserve"> &gt; 0 "(</w:instrText>
      </w:r>
      <w:r>
        <w:rPr>
          <w:sz w:val="20"/>
          <w:szCs w:val="20"/>
        </w:rPr>
        <w:instrText>6.50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6.50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6.50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6.50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6.50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6.50</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1209382456"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6.50</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fldChar w:fldCharType="begin"/>
      </w:r>
      <w:r w:rsidRPr="00207F0D">
        <w:rPr>
          <w:rFonts w:asciiTheme="minorHAnsi" w:hAnsiTheme="minorHAnsi"/>
          <w:sz w:val="20"/>
          <w:szCs w:val="20"/>
        </w:rPr>
        <w:instrText xml:space="preserve"> MERGEFIELD ASWBHOURSMax \# 0.00# </w:instrText>
      </w:r>
      <w:r w:rsidRPr="00207F0D">
        <w:rPr>
          <w:rFonts w:asciiTheme="minorHAnsi" w:hAnsiTheme="minorHAnsi"/>
          <w:sz w:val="20"/>
          <w:szCs w:val="20"/>
        </w:rPr>
        <w:fldChar w:fldCharType="separate"/>
      </w:r>
      <w:r w:rsidRPr="00207F0D">
        <w:rPr>
          <w:rFonts w:asciiTheme="minorHAnsi" w:hAnsiTheme="minorHAnsi"/>
          <w:noProof/>
          <w:sz w:val="20"/>
          <w:szCs w:val="20"/>
        </w:rPr>
        <w:instrText>«ASWBHOURSMax»</w:instrText>
      </w:r>
      <w:r w:rsidRPr="00207F0D">
        <w:rPr>
          <w:rFonts w:asciiTheme="minorHAnsi" w:hAnsiTheme="minorHAnsi"/>
          <w:sz w:val="20"/>
          <w:szCs w:val="20"/>
        </w:rPr>
        <w:fldChar w:fldCharType="end"/>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