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2024 PENTA Conference</w:instrText>
      </w:r>
      <w:r>
        <w:rPr>
          <w:rFonts w:ascii="Garamond" w:hAnsi="Garamond"/>
          <w:bCs/>
        </w:rPr>
        <w:instrText xml:space="preserve">" </w:instrText>
      </w:r>
      <w:r>
        <w:rPr>
          <w:rFonts w:ascii="Garamond" w:hAnsi="Garamond"/>
          <w:bCs/>
        </w:rPr>
        <w:fldChar w:fldCharType="separate"/>
      </w:r>
      <w:r>
        <w:rPr>
          <w:rFonts w:ascii="Garamond" w:hAnsi="Garamond"/>
          <w:bCs/>
        </w:rPr>
        <w:t>2024 PENTA Conference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9,</w:t>
      </w:r>
      <w:r>
        <w:rPr>
          <w:rFonts w:ascii="Garamond" w:hAnsi="Garamond"/>
          <w:bCs/>
        </w:rPr>
        <w:t xml:space="preserve"> 2024 - 11:30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Karah Harvey-Nuckles,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Jones, BS, C-TAGME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Non-Clinical Exception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Whitney Phillips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Katelyn Krivchenia,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P Ardoin,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Bethanne B Thomas, CPNP, Pediatric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Moran, BS, CHES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Samantha Coss, MD, PhD, Pediatric Rheumatology 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R Garrick,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Bearer,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Ian Rossman,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Lindsay Fannin,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Assess strategies used to accurately diagnose pediatric conditions seen in various rheumatic diseases.</w:instrText>
      </w:r>
    </w:p>
    <w:p w:rsidR="004777F1">
      <w:pPr>
        <w:bidi w:val="0"/>
        <w:spacing w:after="280" w:afterAutospacing="1"/>
        <w:rPr>
          <w:rFonts w:ascii="Garamond" w:hAnsi="Garamond"/>
          <w:sz w:val="22"/>
          <w:szCs w:val="22"/>
        </w:rPr>
      </w:pPr>
      <w:r>
        <w:rPr>
          <w:rFonts w:ascii="Garamond" w:hAnsi="Garamond"/>
          <w:sz w:val="22"/>
          <w:szCs w:val="22"/>
        </w:rPr>
        <w:instrText>2 Acquire new insights into clinical reasoning behind each diagnosis and the purpose of any needed intervention.</w:instrText>
      </w:r>
    </w:p>
    <w:p w:rsidR="004777F1">
      <w:pPr>
        <w:bidi w:val="0"/>
        <w:spacing w:after="280" w:afterAutospacing="1"/>
        <w:rPr>
          <w:rFonts w:ascii="Garamond" w:hAnsi="Garamond"/>
          <w:sz w:val="22"/>
          <w:szCs w:val="22"/>
        </w:rPr>
      </w:pPr>
      <w:r>
        <w:rPr>
          <w:rFonts w:ascii="Garamond" w:hAnsi="Garamond"/>
          <w:sz w:val="22"/>
          <w:szCs w:val="22"/>
        </w:rPr>
        <w:instrText>3 Acquire new knowledge in screening and management guidelines for multisystemic complications of rheumatic diseases.</w:instrText>
      </w:r>
    </w:p>
    <w:p w:rsidR="004777F1">
      <w:pPr>
        <w:bidi w:val="0"/>
        <w:spacing w:after="280" w:afterAutospacing="1"/>
        <w:rPr>
          <w:rFonts w:ascii="Garamond" w:hAnsi="Garamond"/>
          <w:sz w:val="22"/>
          <w:szCs w:val="22"/>
        </w:rPr>
      </w:pPr>
      <w:r>
        <w:rPr>
          <w:rFonts w:ascii="Garamond" w:hAnsi="Garamond"/>
          <w:sz w:val="22"/>
          <w:szCs w:val="22"/>
        </w:rPr>
        <w:instrText>4 Improve patient outcomes by collaboration with other specialties for research and quality improvement activities.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Assess strategies used to accurately diagnose pediatric conditions seen in various rheumatic diseases.</w:instrText>
      </w:r>
    </w:p>
    <w:p w:rsidP="004777F1">
      <w:pPr>
        <w:ind w:left="540" w:hanging="180"/>
        <w:rPr>
          <w:rFonts w:ascii="Garamond" w:hAnsi="Garamond"/>
          <w:sz w:val="22"/>
          <w:szCs w:val="22"/>
        </w:rPr>
      </w:pPr>
      <w:r>
        <w:rPr>
          <w:rFonts w:ascii="Garamond" w:hAnsi="Garamond"/>
          <w:sz w:val="22"/>
          <w:szCs w:val="22"/>
        </w:rPr>
        <w:instrText>2 Acquire new insights into clinical reasoning behind each diagnosis and the purpose of any needed intervention.</w:instrText>
      </w:r>
    </w:p>
    <w:p w:rsidP="004777F1">
      <w:pPr>
        <w:ind w:left="540" w:hanging="180"/>
        <w:rPr>
          <w:rFonts w:ascii="Garamond" w:hAnsi="Garamond"/>
          <w:sz w:val="22"/>
          <w:szCs w:val="22"/>
        </w:rPr>
      </w:pPr>
      <w:r>
        <w:rPr>
          <w:rFonts w:ascii="Garamond" w:hAnsi="Garamond"/>
          <w:sz w:val="22"/>
          <w:szCs w:val="22"/>
        </w:rPr>
        <w:instrText>3 Acquire new knowledge in screening and management guidelines for multisystemic complications of rheumatic diseases.</w:instrText>
      </w:r>
    </w:p>
    <w:p w:rsidP="004777F1">
      <w:pPr>
        <w:ind w:left="540" w:hanging="180"/>
        <w:rPr>
          <w:rFonts w:ascii="Garamond" w:hAnsi="Garamond"/>
          <w:sz w:val="22"/>
          <w:szCs w:val="22"/>
        </w:rPr>
      </w:pPr>
      <w:r>
        <w:rPr>
          <w:rFonts w:ascii="Garamond" w:hAnsi="Garamond"/>
          <w:sz w:val="22"/>
          <w:szCs w:val="22"/>
        </w:rPr>
        <w:instrText>4 Improve patient outcomes by collaboration with other specialties for research and quality improvement activities.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Assess strategies used to accurately diagnose pediatric conditions seen in various rheumatic diseases.</w:t>
      </w:r>
    </w:p>
    <w:p w:rsidP="004777F1">
      <w:pPr>
        <w:ind w:left="540" w:hanging="180"/>
        <w:rPr>
          <w:rFonts w:ascii="Garamond" w:hAnsi="Garamond"/>
          <w:sz w:val="22"/>
          <w:szCs w:val="22"/>
        </w:rPr>
      </w:pPr>
      <w:r>
        <w:rPr>
          <w:rFonts w:ascii="Garamond" w:hAnsi="Garamond"/>
          <w:sz w:val="22"/>
          <w:szCs w:val="22"/>
        </w:rPr>
        <w:t>2 Acquire new insights into clinical reasoning behind each diagnosis and the purpose of any needed intervention.</w:t>
      </w:r>
    </w:p>
    <w:p w:rsidP="004777F1">
      <w:pPr>
        <w:ind w:left="540" w:hanging="180"/>
        <w:rPr>
          <w:rFonts w:ascii="Garamond" w:hAnsi="Garamond"/>
          <w:sz w:val="22"/>
          <w:szCs w:val="22"/>
        </w:rPr>
      </w:pPr>
      <w:r>
        <w:rPr>
          <w:rFonts w:ascii="Garamond" w:hAnsi="Garamond"/>
          <w:sz w:val="22"/>
          <w:szCs w:val="22"/>
        </w:rPr>
        <w:t>3 Acquire new knowledge in screening and management guidelines for multisystemic complications of rheumatic diseases.</w:t>
      </w:r>
    </w:p>
    <w:p w:rsidR="004777F1" w:rsidP="004777F1">
      <w:pPr>
        <w:ind w:left="540" w:hanging="180"/>
        <w:rPr>
          <w:rFonts w:ascii="Garamond" w:hAnsi="Garamond"/>
          <w:sz w:val="22"/>
          <w:szCs w:val="22"/>
        </w:rPr>
      </w:pPr>
      <w:r>
        <w:rPr>
          <w:rFonts w:ascii="Garamond" w:hAnsi="Garamond"/>
          <w:sz w:val="22"/>
          <w:szCs w:val="22"/>
        </w:rPr>
        <w:t>4 Improve patient outcomes by collaboration with other specialties for research and quality improvement activities.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Review characteristics of localized scleroderma (morphea)</w:instrText>
      </w:r>
    </w:p>
    <w:p w:rsidR="004777F1" w:rsidP="004777F1">
      <w:pPr>
        <w:ind w:left="540" w:hanging="180"/>
        <w:rPr>
          <w:rFonts w:ascii="Garamond" w:hAnsi="Garamond"/>
          <w:sz w:val="22"/>
          <w:szCs w:val="22"/>
        </w:rPr>
      </w:pPr>
      <w:r>
        <w:rPr>
          <w:rFonts w:ascii="Garamond" w:hAnsi="Garamond"/>
          <w:sz w:val="22"/>
          <w:szCs w:val="22"/>
        </w:rPr>
        <w:instrText>2 Understand potential extra-cutaneous disease manifestations of localized scleroderma and modalities used to screen for these</w:instrText>
      </w:r>
    </w:p>
    <w:p w:rsidR="004777F1" w:rsidP="004777F1">
      <w:pPr>
        <w:ind w:left="540" w:hanging="180"/>
        <w:rPr>
          <w:rFonts w:ascii="Garamond" w:hAnsi="Garamond"/>
          <w:sz w:val="22"/>
          <w:szCs w:val="22"/>
        </w:rPr>
      </w:pPr>
      <w:r>
        <w:rPr>
          <w:rFonts w:ascii="Garamond" w:hAnsi="Garamond"/>
          <w:sz w:val="22"/>
          <w:szCs w:val="22"/>
        </w:rPr>
        <w:instrText>3 Review current management and therapies used to treat localized scleroderma</w:instrText>
      </w:r>
    </w:p>
    <w:p w:rsidR="004777F1" w:rsidP="004777F1">
      <w:pPr>
        <w:ind w:left="540" w:hanging="180"/>
        <w:rPr>
          <w:rFonts w:ascii="Garamond" w:hAnsi="Garamond"/>
          <w:sz w:val="22"/>
          <w:szCs w:val="22"/>
        </w:rPr>
      </w:pPr>
      <w:r>
        <w:rPr>
          <w:rFonts w:ascii="Garamond" w:hAnsi="Garamond"/>
          <w:sz w:val="22"/>
          <w:szCs w:val="22"/>
        </w:rPr>
        <w:instrText>4 Review a model of existing telehealth program (Stanford Children's as a model)</w:instrText>
      </w:r>
    </w:p>
    <w:p w:rsidR="004777F1" w:rsidP="004777F1">
      <w:pPr>
        <w:ind w:left="540" w:hanging="180"/>
        <w:rPr>
          <w:rFonts w:ascii="Garamond" w:hAnsi="Garamond"/>
          <w:sz w:val="22"/>
          <w:szCs w:val="22"/>
        </w:rPr>
      </w:pPr>
      <w:r>
        <w:rPr>
          <w:rFonts w:ascii="Garamond" w:hAnsi="Garamond"/>
          <w:sz w:val="22"/>
          <w:szCs w:val="22"/>
        </w:rPr>
        <w:instrText>5 Review current use cases of telehealth in pediatric subspecialty care within inpatient, ambulatory, and research settings</w:instrText>
      </w:r>
    </w:p>
    <w:p w:rsidR="004777F1" w:rsidP="004777F1">
      <w:pPr>
        <w:ind w:left="540" w:hanging="180"/>
        <w:rPr>
          <w:rFonts w:ascii="Garamond" w:hAnsi="Garamond"/>
          <w:sz w:val="22"/>
          <w:szCs w:val="22"/>
        </w:rPr>
      </w:pPr>
      <w:r>
        <w:rPr>
          <w:rFonts w:ascii="Garamond" w:hAnsi="Garamond"/>
          <w:sz w:val="22"/>
          <w:szCs w:val="22"/>
        </w:rPr>
        <w:instrText>6 Understand diversity, equity, and inclusion implications with telehealth</w:instrText>
      </w:r>
    </w:p>
    <w:p w:rsidR="004777F1" w:rsidP="004777F1">
      <w:pPr>
        <w:ind w:left="540" w:hanging="180"/>
        <w:rPr>
          <w:rFonts w:ascii="Garamond" w:hAnsi="Garamond"/>
          <w:sz w:val="22"/>
          <w:szCs w:val="22"/>
        </w:rPr>
      </w:pPr>
      <w:r>
        <w:rPr>
          <w:rFonts w:ascii="Garamond" w:hAnsi="Garamond"/>
          <w:sz w:val="22"/>
          <w:szCs w:val="22"/>
        </w:rPr>
        <w:instrText>7 Review gaps and opportunities in telehealth</w:instrText>
      </w:r>
    </w:p>
    <w:p w:rsidR="004777F1" w:rsidP="004777F1">
      <w:pPr>
        <w:ind w:left="540" w:hanging="180"/>
        <w:rPr>
          <w:rFonts w:ascii="Garamond" w:hAnsi="Garamond"/>
          <w:sz w:val="22"/>
          <w:szCs w:val="22"/>
        </w:rPr>
      </w:pPr>
      <w:r>
        <w:rPr>
          <w:rFonts w:ascii="Garamond" w:hAnsi="Garamond"/>
          <w:sz w:val="22"/>
          <w:szCs w:val="22"/>
        </w:rPr>
        <w:instrText>8 Review of mind-body strategies for pediatric chronic pain management</w:instrText>
      </w:r>
    </w:p>
    <w:p w:rsidR="004777F1" w:rsidP="004777F1">
      <w:pPr>
        <w:ind w:left="540" w:hanging="180"/>
        <w:rPr>
          <w:rFonts w:ascii="Garamond" w:hAnsi="Garamond"/>
          <w:sz w:val="22"/>
          <w:szCs w:val="22"/>
        </w:rPr>
      </w:pPr>
      <w:r>
        <w:rPr>
          <w:rFonts w:ascii="Garamond" w:hAnsi="Garamond"/>
          <w:sz w:val="22"/>
          <w:szCs w:val="22"/>
        </w:rPr>
        <w:instrText>9 Learn about a brief intervention program - The Comfort Ability Program (CAP) - targeting mind-body skill development for teens and their families with chronic pain</w:instrText>
      </w:r>
    </w:p>
    <w:p w:rsidR="004777F1" w:rsidP="004777F1">
      <w:pPr>
        <w:ind w:left="540" w:hanging="180"/>
        <w:rPr>
          <w:rFonts w:ascii="Garamond" w:hAnsi="Garamond"/>
          <w:sz w:val="22"/>
          <w:szCs w:val="22"/>
        </w:rPr>
      </w:pPr>
      <w:r>
        <w:rPr>
          <w:rFonts w:ascii="Garamond" w:hAnsi="Garamond"/>
          <w:sz w:val="22"/>
          <w:szCs w:val="22"/>
        </w:rPr>
        <w:instrText>10 Understand how to be an effective conduit for pediatric chronic pain mind-body resources including: how to describe mid-body skills to families and why they work and effective collaboration tips with psychosocial supports (psychology, school)</w:instrText>
      </w:r>
    </w:p>
    <w:p w:rsidR="004777F1" w:rsidP="004777F1">
      <w:pPr>
        <w:ind w:left="540" w:hanging="180"/>
        <w:rPr>
          <w:rFonts w:ascii="Garamond" w:hAnsi="Garamond"/>
          <w:sz w:val="22"/>
          <w:szCs w:val="22"/>
        </w:rPr>
      </w:pPr>
      <w:r>
        <w:rPr>
          <w:rFonts w:ascii="Garamond" w:hAnsi="Garamond"/>
          <w:sz w:val="22"/>
          <w:szCs w:val="22"/>
        </w:rPr>
        <w:instrText>11 Review the characteristic pathologic findings of Chronic Recurrent Multifocal Osteomyelitis (CRMO)</w:instrText>
      </w:r>
    </w:p>
    <w:p w:rsidR="004777F1" w:rsidP="004777F1">
      <w:pPr>
        <w:ind w:left="540" w:hanging="180"/>
        <w:rPr>
          <w:rFonts w:ascii="Garamond" w:hAnsi="Garamond"/>
          <w:sz w:val="22"/>
          <w:szCs w:val="22"/>
        </w:rPr>
      </w:pPr>
      <w:r>
        <w:rPr>
          <w:rFonts w:ascii="Garamond" w:hAnsi="Garamond"/>
          <w:sz w:val="22"/>
          <w:szCs w:val="22"/>
        </w:rPr>
        <w:instrText>12 Understand the pathologic nuances of osteitis type disease of childhood</w:instrText>
      </w:r>
    </w:p>
    <w:p w:rsidR="004777F1" w:rsidP="004777F1">
      <w:pPr>
        <w:ind w:left="540" w:hanging="180"/>
        <w:rPr>
          <w:rFonts w:ascii="Garamond" w:hAnsi="Garamond"/>
          <w:sz w:val="22"/>
          <w:szCs w:val="22"/>
        </w:rPr>
      </w:pPr>
      <w:r>
        <w:rPr>
          <w:rFonts w:ascii="Garamond" w:hAnsi="Garamond"/>
          <w:sz w:val="22"/>
          <w:szCs w:val="22"/>
        </w:rPr>
        <w:instrText>13 Review examples of dermatopathology associated with cases of chronic osteitis</w:instrText>
      </w:r>
    </w:p>
    <w:p w:rsidR="004777F1" w:rsidP="004777F1">
      <w:pPr>
        <w:ind w:left="540" w:hanging="180"/>
        <w:rPr>
          <w:rFonts w:ascii="Garamond" w:hAnsi="Garamond"/>
          <w:sz w:val="22"/>
          <w:szCs w:val="22"/>
        </w:rPr>
      </w:pPr>
      <w:r>
        <w:rPr>
          <w:rFonts w:ascii="Garamond" w:hAnsi="Garamond"/>
          <w:sz w:val="22"/>
          <w:szCs w:val="22"/>
        </w:rPr>
        <w:instrText>14 Review the differential diagnosis for acute encephalitis</w:instrText>
      </w:r>
    </w:p>
    <w:p w:rsidR="004777F1" w:rsidP="004777F1">
      <w:pPr>
        <w:ind w:left="540" w:hanging="180"/>
        <w:rPr>
          <w:rFonts w:ascii="Garamond" w:hAnsi="Garamond"/>
          <w:sz w:val="22"/>
          <w:szCs w:val="22"/>
        </w:rPr>
      </w:pPr>
      <w:r>
        <w:rPr>
          <w:rFonts w:ascii="Garamond" w:hAnsi="Garamond"/>
          <w:sz w:val="22"/>
          <w:szCs w:val="22"/>
        </w:rPr>
        <w:instrText>15 Review the work up for acute encephalitis</w:instrText>
      </w:r>
    </w:p>
    <w:p w:rsidR="004777F1" w:rsidP="004777F1">
      <w:pPr>
        <w:ind w:left="540" w:hanging="180"/>
        <w:rPr>
          <w:rFonts w:ascii="Garamond" w:hAnsi="Garamond"/>
          <w:sz w:val="22"/>
          <w:szCs w:val="22"/>
        </w:rPr>
      </w:pPr>
      <w:r>
        <w:rPr>
          <w:rFonts w:ascii="Garamond" w:hAnsi="Garamond"/>
          <w:sz w:val="22"/>
          <w:szCs w:val="22"/>
        </w:rPr>
        <w:instrText>16 Discuss the treatment for a rare presentation of encephalitis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Review characteristics of localized scleroderma (morphea)</w:instrText>
      </w:r>
    </w:p>
    <w:p w:rsidP="004777F1">
      <w:pPr>
        <w:ind w:left="540" w:hanging="180"/>
        <w:rPr>
          <w:rFonts w:ascii="Garamond" w:hAnsi="Garamond"/>
          <w:sz w:val="22"/>
          <w:szCs w:val="22"/>
        </w:rPr>
      </w:pPr>
      <w:r>
        <w:rPr>
          <w:rFonts w:ascii="Garamond" w:hAnsi="Garamond"/>
          <w:sz w:val="22"/>
          <w:szCs w:val="22"/>
        </w:rPr>
        <w:instrText>2 Understand potential extra-cutaneous disease manifestations of localized scleroderma and modalities used to screen for these</w:instrText>
      </w:r>
    </w:p>
    <w:p w:rsidP="004777F1">
      <w:pPr>
        <w:ind w:left="540" w:hanging="180"/>
        <w:rPr>
          <w:rFonts w:ascii="Garamond" w:hAnsi="Garamond"/>
          <w:sz w:val="22"/>
          <w:szCs w:val="22"/>
        </w:rPr>
      </w:pPr>
      <w:r>
        <w:rPr>
          <w:rFonts w:ascii="Garamond" w:hAnsi="Garamond"/>
          <w:sz w:val="22"/>
          <w:szCs w:val="22"/>
        </w:rPr>
        <w:instrText>3 Review current management and therapies used to treat localized scleroderma</w:instrText>
      </w:r>
    </w:p>
    <w:p w:rsidP="004777F1">
      <w:pPr>
        <w:ind w:left="540" w:hanging="180"/>
        <w:rPr>
          <w:rFonts w:ascii="Garamond" w:hAnsi="Garamond"/>
          <w:sz w:val="22"/>
          <w:szCs w:val="22"/>
        </w:rPr>
      </w:pPr>
      <w:r>
        <w:rPr>
          <w:rFonts w:ascii="Garamond" w:hAnsi="Garamond"/>
          <w:sz w:val="22"/>
          <w:szCs w:val="22"/>
        </w:rPr>
        <w:instrText>4 Review a model of existing telehealth program (Stanford Children's as a model)</w:instrText>
      </w:r>
    </w:p>
    <w:p w:rsidP="004777F1">
      <w:pPr>
        <w:ind w:left="540" w:hanging="180"/>
        <w:rPr>
          <w:rFonts w:ascii="Garamond" w:hAnsi="Garamond"/>
          <w:sz w:val="22"/>
          <w:szCs w:val="22"/>
        </w:rPr>
      </w:pPr>
      <w:r>
        <w:rPr>
          <w:rFonts w:ascii="Garamond" w:hAnsi="Garamond"/>
          <w:sz w:val="22"/>
          <w:szCs w:val="22"/>
        </w:rPr>
        <w:instrText>5 Review current use cases of telehealth in pediatric subspecialty care within inpatient, ambulatory, and research settings</w:instrText>
      </w:r>
    </w:p>
    <w:p w:rsidP="004777F1">
      <w:pPr>
        <w:ind w:left="540" w:hanging="180"/>
        <w:rPr>
          <w:rFonts w:ascii="Garamond" w:hAnsi="Garamond"/>
          <w:sz w:val="22"/>
          <w:szCs w:val="22"/>
        </w:rPr>
      </w:pPr>
      <w:r>
        <w:rPr>
          <w:rFonts w:ascii="Garamond" w:hAnsi="Garamond"/>
          <w:sz w:val="22"/>
          <w:szCs w:val="22"/>
        </w:rPr>
        <w:instrText>6 Understand diversity, equity, and inclusion implications with telehealth</w:instrText>
      </w:r>
    </w:p>
    <w:p w:rsidP="004777F1">
      <w:pPr>
        <w:ind w:left="540" w:hanging="180"/>
        <w:rPr>
          <w:rFonts w:ascii="Garamond" w:hAnsi="Garamond"/>
          <w:sz w:val="22"/>
          <w:szCs w:val="22"/>
        </w:rPr>
      </w:pPr>
      <w:r>
        <w:rPr>
          <w:rFonts w:ascii="Garamond" w:hAnsi="Garamond"/>
          <w:sz w:val="22"/>
          <w:szCs w:val="22"/>
        </w:rPr>
        <w:instrText>7 Review gaps and opportunities in telehealth</w:instrText>
      </w:r>
    </w:p>
    <w:p w:rsidP="004777F1">
      <w:pPr>
        <w:ind w:left="540" w:hanging="180"/>
        <w:rPr>
          <w:rFonts w:ascii="Garamond" w:hAnsi="Garamond"/>
          <w:sz w:val="22"/>
          <w:szCs w:val="22"/>
        </w:rPr>
      </w:pPr>
      <w:r>
        <w:rPr>
          <w:rFonts w:ascii="Garamond" w:hAnsi="Garamond"/>
          <w:sz w:val="22"/>
          <w:szCs w:val="22"/>
        </w:rPr>
        <w:instrText>8 Review of mind-body strategies for pediatric chronic pain management</w:instrText>
      </w:r>
    </w:p>
    <w:p w:rsidP="004777F1">
      <w:pPr>
        <w:ind w:left="540" w:hanging="180"/>
        <w:rPr>
          <w:rFonts w:ascii="Garamond" w:hAnsi="Garamond"/>
          <w:sz w:val="22"/>
          <w:szCs w:val="22"/>
        </w:rPr>
      </w:pPr>
      <w:r>
        <w:rPr>
          <w:rFonts w:ascii="Garamond" w:hAnsi="Garamond"/>
          <w:sz w:val="22"/>
          <w:szCs w:val="22"/>
        </w:rPr>
        <w:instrText>9 Learn about a brief intervention program - The Comfort Ability Program (CAP) - targeting mind-body skill development for teens and their families with chronic pain</w:instrText>
      </w:r>
    </w:p>
    <w:p w:rsidP="004777F1">
      <w:pPr>
        <w:ind w:left="540" w:hanging="180"/>
        <w:rPr>
          <w:rFonts w:ascii="Garamond" w:hAnsi="Garamond"/>
          <w:sz w:val="22"/>
          <w:szCs w:val="22"/>
        </w:rPr>
      </w:pPr>
      <w:r>
        <w:rPr>
          <w:rFonts w:ascii="Garamond" w:hAnsi="Garamond"/>
          <w:sz w:val="22"/>
          <w:szCs w:val="22"/>
        </w:rPr>
        <w:instrText>10 Understand how to be an effective conduit for pediatric chronic pain mind-body resources including: how to describe mid-body skills to families and why they work and effective collaboration tips with psychosocial supports (psychology, school)</w:instrText>
      </w:r>
    </w:p>
    <w:p w:rsidP="004777F1">
      <w:pPr>
        <w:ind w:left="540" w:hanging="180"/>
        <w:rPr>
          <w:rFonts w:ascii="Garamond" w:hAnsi="Garamond"/>
          <w:sz w:val="22"/>
          <w:szCs w:val="22"/>
        </w:rPr>
      </w:pPr>
      <w:r>
        <w:rPr>
          <w:rFonts w:ascii="Garamond" w:hAnsi="Garamond"/>
          <w:sz w:val="22"/>
          <w:szCs w:val="22"/>
        </w:rPr>
        <w:instrText>11 Review the characteristic pathologic findings of Chronic Recurrent Multifocal Osteomyelitis (CRMO)</w:instrText>
      </w:r>
    </w:p>
    <w:p w:rsidP="004777F1">
      <w:pPr>
        <w:ind w:left="540" w:hanging="180"/>
        <w:rPr>
          <w:rFonts w:ascii="Garamond" w:hAnsi="Garamond"/>
          <w:sz w:val="22"/>
          <w:szCs w:val="22"/>
        </w:rPr>
      </w:pPr>
      <w:r>
        <w:rPr>
          <w:rFonts w:ascii="Garamond" w:hAnsi="Garamond"/>
          <w:sz w:val="22"/>
          <w:szCs w:val="22"/>
        </w:rPr>
        <w:instrText>12 Understand the pathologic nuances of osteitis type disease of childhood</w:instrText>
      </w:r>
    </w:p>
    <w:p w:rsidP="004777F1">
      <w:pPr>
        <w:ind w:left="540" w:hanging="180"/>
        <w:rPr>
          <w:rFonts w:ascii="Garamond" w:hAnsi="Garamond"/>
          <w:sz w:val="22"/>
          <w:szCs w:val="22"/>
        </w:rPr>
      </w:pPr>
      <w:r>
        <w:rPr>
          <w:rFonts w:ascii="Garamond" w:hAnsi="Garamond"/>
          <w:sz w:val="22"/>
          <w:szCs w:val="22"/>
        </w:rPr>
        <w:instrText>13 Review examples of dermatopathology associated with cases of chronic osteitis</w:instrText>
      </w:r>
    </w:p>
    <w:p w:rsidP="004777F1">
      <w:pPr>
        <w:ind w:left="540" w:hanging="180"/>
        <w:rPr>
          <w:rFonts w:ascii="Garamond" w:hAnsi="Garamond"/>
          <w:sz w:val="22"/>
          <w:szCs w:val="22"/>
        </w:rPr>
      </w:pPr>
      <w:r>
        <w:rPr>
          <w:rFonts w:ascii="Garamond" w:hAnsi="Garamond"/>
          <w:sz w:val="22"/>
          <w:szCs w:val="22"/>
        </w:rPr>
        <w:instrText>14 Review the differential diagnosis for acute encephalitis</w:instrText>
      </w:r>
    </w:p>
    <w:p w:rsidP="004777F1">
      <w:pPr>
        <w:ind w:left="540" w:hanging="180"/>
        <w:rPr>
          <w:rFonts w:ascii="Garamond" w:hAnsi="Garamond"/>
          <w:sz w:val="22"/>
          <w:szCs w:val="22"/>
        </w:rPr>
      </w:pPr>
      <w:r>
        <w:rPr>
          <w:rFonts w:ascii="Garamond" w:hAnsi="Garamond"/>
          <w:sz w:val="22"/>
          <w:szCs w:val="22"/>
        </w:rPr>
        <w:instrText>15 Review the work up for acute encephalitis</w:instrText>
      </w:r>
    </w:p>
    <w:p w:rsidP="004777F1">
      <w:pPr>
        <w:ind w:left="540" w:hanging="180"/>
        <w:rPr>
          <w:rFonts w:ascii="Garamond" w:hAnsi="Garamond"/>
          <w:sz w:val="22"/>
          <w:szCs w:val="22"/>
        </w:rPr>
      </w:pPr>
      <w:r>
        <w:rPr>
          <w:rFonts w:ascii="Garamond" w:hAnsi="Garamond"/>
          <w:sz w:val="22"/>
          <w:szCs w:val="22"/>
        </w:rPr>
        <w:instrText>16 Discuss the treatment for a rare presentation of encephalitis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Review characteristics of localized scleroderma (morphea)</w:t>
      </w:r>
    </w:p>
    <w:p w:rsidP="004777F1">
      <w:pPr>
        <w:ind w:left="540" w:hanging="180"/>
        <w:rPr>
          <w:rFonts w:ascii="Garamond" w:hAnsi="Garamond"/>
          <w:sz w:val="22"/>
          <w:szCs w:val="22"/>
        </w:rPr>
      </w:pPr>
      <w:r>
        <w:rPr>
          <w:rFonts w:ascii="Garamond" w:hAnsi="Garamond"/>
          <w:sz w:val="22"/>
          <w:szCs w:val="22"/>
        </w:rPr>
        <w:t>2 Understand potential extra-cutaneous disease manifestations of localized scleroderma and modalities used to screen for these</w:t>
      </w:r>
    </w:p>
    <w:p w:rsidP="004777F1">
      <w:pPr>
        <w:ind w:left="540" w:hanging="180"/>
        <w:rPr>
          <w:rFonts w:ascii="Garamond" w:hAnsi="Garamond"/>
          <w:sz w:val="22"/>
          <w:szCs w:val="22"/>
        </w:rPr>
      </w:pPr>
      <w:r>
        <w:rPr>
          <w:rFonts w:ascii="Garamond" w:hAnsi="Garamond"/>
          <w:sz w:val="22"/>
          <w:szCs w:val="22"/>
        </w:rPr>
        <w:t>3 Review current management and therapies used to treat localized scleroderma</w:t>
      </w:r>
    </w:p>
    <w:p w:rsidP="004777F1">
      <w:pPr>
        <w:ind w:left="540" w:hanging="180"/>
        <w:rPr>
          <w:rFonts w:ascii="Garamond" w:hAnsi="Garamond"/>
          <w:sz w:val="22"/>
          <w:szCs w:val="22"/>
        </w:rPr>
      </w:pPr>
      <w:r>
        <w:rPr>
          <w:rFonts w:ascii="Garamond" w:hAnsi="Garamond"/>
          <w:sz w:val="22"/>
          <w:szCs w:val="22"/>
        </w:rPr>
        <w:t>4 Review a model of existing telehealth program (Stanford Children's as a model)</w:t>
      </w:r>
    </w:p>
    <w:p w:rsidP="004777F1">
      <w:pPr>
        <w:ind w:left="540" w:hanging="180"/>
        <w:rPr>
          <w:rFonts w:ascii="Garamond" w:hAnsi="Garamond"/>
          <w:sz w:val="22"/>
          <w:szCs w:val="22"/>
        </w:rPr>
      </w:pPr>
      <w:r>
        <w:rPr>
          <w:rFonts w:ascii="Garamond" w:hAnsi="Garamond"/>
          <w:sz w:val="22"/>
          <w:szCs w:val="22"/>
        </w:rPr>
        <w:t>5 Review current use cases of telehealth in pediatric subspecialty care within inpatient, ambulatory, and research settings</w:t>
      </w:r>
    </w:p>
    <w:p w:rsidP="004777F1">
      <w:pPr>
        <w:ind w:left="540" w:hanging="180"/>
        <w:rPr>
          <w:rFonts w:ascii="Garamond" w:hAnsi="Garamond"/>
          <w:sz w:val="22"/>
          <w:szCs w:val="22"/>
        </w:rPr>
      </w:pPr>
      <w:r>
        <w:rPr>
          <w:rFonts w:ascii="Garamond" w:hAnsi="Garamond"/>
          <w:sz w:val="22"/>
          <w:szCs w:val="22"/>
        </w:rPr>
        <w:t>6 Understand diversity, equity, and inclusion implications with telehealth</w:t>
      </w:r>
    </w:p>
    <w:p w:rsidP="004777F1">
      <w:pPr>
        <w:ind w:left="540" w:hanging="180"/>
        <w:rPr>
          <w:rFonts w:ascii="Garamond" w:hAnsi="Garamond"/>
          <w:sz w:val="22"/>
          <w:szCs w:val="22"/>
        </w:rPr>
      </w:pPr>
      <w:r>
        <w:rPr>
          <w:rFonts w:ascii="Garamond" w:hAnsi="Garamond"/>
          <w:sz w:val="22"/>
          <w:szCs w:val="22"/>
        </w:rPr>
        <w:t>7 Review gaps and opportunities in telehealth</w:t>
      </w:r>
    </w:p>
    <w:p w:rsidP="004777F1">
      <w:pPr>
        <w:ind w:left="540" w:hanging="180"/>
        <w:rPr>
          <w:rFonts w:ascii="Garamond" w:hAnsi="Garamond"/>
          <w:sz w:val="22"/>
          <w:szCs w:val="22"/>
        </w:rPr>
      </w:pPr>
      <w:r>
        <w:rPr>
          <w:rFonts w:ascii="Garamond" w:hAnsi="Garamond"/>
          <w:sz w:val="22"/>
          <w:szCs w:val="22"/>
        </w:rPr>
        <w:t>8 Review of mind-body strategies for pediatric chronic pain management</w:t>
      </w:r>
    </w:p>
    <w:p w:rsidP="004777F1">
      <w:pPr>
        <w:ind w:left="540" w:hanging="180"/>
        <w:rPr>
          <w:rFonts w:ascii="Garamond" w:hAnsi="Garamond"/>
          <w:sz w:val="22"/>
          <w:szCs w:val="22"/>
        </w:rPr>
      </w:pPr>
      <w:r>
        <w:rPr>
          <w:rFonts w:ascii="Garamond" w:hAnsi="Garamond"/>
          <w:sz w:val="22"/>
          <w:szCs w:val="22"/>
        </w:rPr>
        <w:t>9 Learn about a brief intervention program - The Comfort Ability Program (CAP) - targeting mind-body skill development for teens and their families with chronic pain</w:t>
      </w:r>
    </w:p>
    <w:p w:rsidP="004777F1">
      <w:pPr>
        <w:ind w:left="540" w:hanging="180"/>
        <w:rPr>
          <w:rFonts w:ascii="Garamond" w:hAnsi="Garamond"/>
          <w:sz w:val="22"/>
          <w:szCs w:val="22"/>
        </w:rPr>
      </w:pPr>
      <w:r>
        <w:rPr>
          <w:rFonts w:ascii="Garamond" w:hAnsi="Garamond"/>
          <w:sz w:val="22"/>
          <w:szCs w:val="22"/>
        </w:rPr>
        <w:t>10 Understand how to be an effective conduit for pediatric chronic pain mind-body resources including: how to describe mid-body skills to families and why they work and effective collaboration tips with psychosocial supports (psychology, school)</w:t>
      </w:r>
    </w:p>
    <w:p w:rsidP="004777F1">
      <w:pPr>
        <w:ind w:left="540" w:hanging="180"/>
        <w:rPr>
          <w:rFonts w:ascii="Garamond" w:hAnsi="Garamond"/>
          <w:sz w:val="22"/>
          <w:szCs w:val="22"/>
        </w:rPr>
      </w:pPr>
      <w:r>
        <w:rPr>
          <w:rFonts w:ascii="Garamond" w:hAnsi="Garamond"/>
          <w:sz w:val="22"/>
          <w:szCs w:val="22"/>
        </w:rPr>
        <w:t>11 Review the characteristic pathologic findings of Chronic Recurrent Multifocal Osteomyelitis (CRMO)</w:t>
      </w:r>
    </w:p>
    <w:p w:rsidP="004777F1">
      <w:pPr>
        <w:ind w:left="540" w:hanging="180"/>
        <w:rPr>
          <w:rFonts w:ascii="Garamond" w:hAnsi="Garamond"/>
          <w:sz w:val="22"/>
          <w:szCs w:val="22"/>
        </w:rPr>
      </w:pPr>
      <w:r>
        <w:rPr>
          <w:rFonts w:ascii="Garamond" w:hAnsi="Garamond"/>
          <w:sz w:val="22"/>
          <w:szCs w:val="22"/>
        </w:rPr>
        <w:t>12 Understand the pathologic nuances of osteitis type disease of childhood</w:t>
      </w:r>
    </w:p>
    <w:p w:rsidP="004777F1">
      <w:pPr>
        <w:ind w:left="540" w:hanging="180"/>
        <w:rPr>
          <w:rFonts w:ascii="Garamond" w:hAnsi="Garamond"/>
          <w:sz w:val="22"/>
          <w:szCs w:val="22"/>
        </w:rPr>
      </w:pPr>
      <w:r>
        <w:rPr>
          <w:rFonts w:ascii="Garamond" w:hAnsi="Garamond"/>
          <w:sz w:val="22"/>
          <w:szCs w:val="22"/>
        </w:rPr>
        <w:t>13 Review examples of dermatopathology associated with cases of chronic osteitis</w:t>
      </w:r>
    </w:p>
    <w:p w:rsidP="004777F1">
      <w:pPr>
        <w:ind w:left="540" w:hanging="180"/>
        <w:rPr>
          <w:rFonts w:ascii="Garamond" w:hAnsi="Garamond"/>
          <w:sz w:val="22"/>
          <w:szCs w:val="22"/>
        </w:rPr>
      </w:pPr>
      <w:r>
        <w:rPr>
          <w:rFonts w:ascii="Garamond" w:hAnsi="Garamond"/>
          <w:sz w:val="22"/>
          <w:szCs w:val="22"/>
        </w:rPr>
        <w:t>14 Review the differential diagnosis for acute encephalitis</w:t>
      </w:r>
    </w:p>
    <w:p w:rsidP="004777F1">
      <w:pPr>
        <w:ind w:left="540" w:hanging="180"/>
        <w:rPr>
          <w:rFonts w:ascii="Garamond" w:hAnsi="Garamond"/>
          <w:sz w:val="22"/>
          <w:szCs w:val="22"/>
        </w:rPr>
      </w:pPr>
      <w:r>
        <w:rPr>
          <w:rFonts w:ascii="Garamond" w:hAnsi="Garamond"/>
          <w:sz w:val="22"/>
          <w:szCs w:val="22"/>
        </w:rPr>
        <w:t>15 Review the work up for acute encephalitis</w:t>
      </w:r>
    </w:p>
    <w:p w:rsidR="004777F1" w:rsidP="004777F1">
      <w:pPr>
        <w:ind w:left="540" w:hanging="180"/>
        <w:rPr>
          <w:rFonts w:ascii="Garamond" w:hAnsi="Garamond"/>
          <w:sz w:val="22"/>
          <w:szCs w:val="22"/>
        </w:rPr>
      </w:pPr>
      <w:r>
        <w:rPr>
          <w:rFonts w:ascii="Garamond" w:hAnsi="Garamond"/>
          <w:sz w:val="22"/>
          <w:szCs w:val="22"/>
        </w:rPr>
        <w:t>16 Discuss the treatment for a rare presentation of encephalitis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