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Trauma Informed Supervision (#32339) **C/SW Supervision**</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Trauma Informed Supervision (#32339) **C/SW Supervision**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December 13,</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Schaffner, IMFT-S, LPCC-S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Apply key trauma-informed principles into their practice, such as recognizing and addressing trauma reactions, normalizing routine supervision, and prioritizing self-care for clinicians</w:instrText>
      </w:r>
    </w:p>
    <w:p w:rsidR="004777F1">
      <w:pPr>
        <w:bidi w:val="0"/>
        <w:spacing w:after="280" w:afterAutospacing="1"/>
        <w:rPr>
          <w:rFonts w:ascii="Garamond" w:hAnsi="Garamond"/>
          <w:sz w:val="22"/>
          <w:szCs w:val="22"/>
        </w:rPr>
      </w:pPr>
      <w:r>
        <w:rPr>
          <w:rFonts w:ascii="Garamond" w:hAnsi="Garamond"/>
          <w:sz w:val="22"/>
          <w:szCs w:val="22"/>
        </w:rPr>
        <w:instrText>2 Apply theoretical knowledge to scenarios through case discussions</w:instrText>
      </w:r>
    </w:p>
    <w:p w:rsidR="004777F1">
      <w:pPr>
        <w:bidi w:val="0"/>
        <w:spacing w:after="280" w:afterAutospacing="1"/>
        <w:rPr>
          <w:rFonts w:ascii="Garamond" w:hAnsi="Garamond"/>
          <w:sz w:val="22"/>
          <w:szCs w:val="22"/>
        </w:rPr>
      </w:pPr>
      <w:r>
        <w:rPr>
          <w:rFonts w:ascii="Garamond" w:hAnsi="Garamond"/>
          <w:sz w:val="22"/>
          <w:szCs w:val="22"/>
        </w:rPr>
        <w:instrText>3 Identify at least 2 strategies to incorporate into their supervision practice upon completion of activity</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Apply key trauma-informed principles into their practice, such as recognizing and addressing trauma reactions, normalizing routine supervision, and prioritizing self-care for clinicians</w:instrText>
      </w:r>
    </w:p>
    <w:p w:rsidP="004777F1">
      <w:pPr>
        <w:ind w:left="540" w:hanging="180"/>
        <w:rPr>
          <w:rFonts w:ascii="Garamond" w:hAnsi="Garamond"/>
          <w:sz w:val="22"/>
          <w:szCs w:val="22"/>
        </w:rPr>
      </w:pPr>
      <w:r>
        <w:rPr>
          <w:rFonts w:ascii="Garamond" w:hAnsi="Garamond"/>
          <w:sz w:val="22"/>
          <w:szCs w:val="22"/>
        </w:rPr>
        <w:instrText>2 Apply theoretical knowledge to scenarios through case discussions</w:instrText>
      </w:r>
    </w:p>
    <w:p w:rsidP="004777F1">
      <w:pPr>
        <w:ind w:left="540" w:hanging="180"/>
        <w:rPr>
          <w:rFonts w:ascii="Garamond" w:hAnsi="Garamond"/>
          <w:sz w:val="22"/>
          <w:szCs w:val="22"/>
        </w:rPr>
      </w:pPr>
      <w:r>
        <w:rPr>
          <w:rFonts w:ascii="Garamond" w:hAnsi="Garamond"/>
          <w:sz w:val="22"/>
          <w:szCs w:val="22"/>
        </w:rPr>
        <w:instrText>3 Identify at least 2 strategies to incorporate into their supervision practice upon completion of activity</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Apply key trauma-informed principles into their practice, such as recognizing and addressing trauma reactions, normalizing routine supervision, and prioritizing self-care for clinicians</w:t>
      </w:r>
    </w:p>
    <w:p w:rsidP="004777F1">
      <w:pPr>
        <w:ind w:left="540" w:hanging="180"/>
        <w:rPr>
          <w:rFonts w:ascii="Garamond" w:hAnsi="Garamond"/>
          <w:sz w:val="22"/>
          <w:szCs w:val="22"/>
        </w:rPr>
      </w:pPr>
      <w:r>
        <w:rPr>
          <w:rFonts w:ascii="Garamond" w:hAnsi="Garamond"/>
          <w:sz w:val="22"/>
          <w:szCs w:val="22"/>
        </w:rPr>
        <w:t>2 Apply theoretical knowledge to scenarios through case discussions</w:t>
      </w:r>
    </w:p>
    <w:p w:rsidR="004777F1" w:rsidP="004777F1">
      <w:pPr>
        <w:ind w:left="540" w:hanging="180"/>
        <w:rPr>
          <w:rFonts w:ascii="Garamond" w:hAnsi="Garamond"/>
          <w:sz w:val="22"/>
          <w:szCs w:val="22"/>
        </w:rPr>
      </w:pPr>
      <w:r>
        <w:rPr>
          <w:rFonts w:ascii="Garamond" w:hAnsi="Garamond"/>
          <w:sz w:val="22"/>
          <w:szCs w:val="22"/>
        </w:rPr>
        <w:t>3 Identify at least 2 strategies to incorporate into their supervision practice upon completion of activity</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66586509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2227239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398318217"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