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Cultural Adaptation of Behavioral Health Assessment and Treatment (#32337) **CSWMFT Ethics**OPA Cultural Competency**</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Cultural Adaptation of Behavioral Health Assessment and Treatment (#32337) **CSWMFT Ethics**OPA Cultural Competency**</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November 8,</w:t>
      </w:r>
      <w:r>
        <w:rPr>
          <w:rFonts w:ascii="Garamond" w:hAnsi="Garamond"/>
          <w:bCs/>
        </w:rPr>
        <w:t xml:space="preserve"> 2024 - 9:00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Ariana Hoet,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Whitney Raglin Bignall,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Understand the rationale for cultural adaptation</w:instrText>
      </w:r>
    </w:p>
    <w:p w:rsidR="004777F1">
      <w:pPr>
        <w:bidi w:val="0"/>
        <w:spacing w:after="280" w:afterAutospacing="1"/>
        <w:rPr>
          <w:rFonts w:ascii="Garamond" w:hAnsi="Garamond"/>
          <w:sz w:val="22"/>
          <w:szCs w:val="22"/>
        </w:rPr>
      </w:pPr>
      <w:r>
        <w:rPr>
          <w:rFonts w:ascii="Garamond" w:hAnsi="Garamond"/>
          <w:sz w:val="22"/>
          <w:szCs w:val="22"/>
        </w:rPr>
        <w:instrText>2 Learn different cultural adaptation frameworks</w:instrText>
      </w:r>
    </w:p>
    <w:p w:rsidR="004777F1">
      <w:pPr>
        <w:bidi w:val="0"/>
        <w:spacing w:after="280" w:afterAutospacing="1"/>
        <w:rPr>
          <w:rFonts w:ascii="Garamond" w:hAnsi="Garamond"/>
          <w:sz w:val="22"/>
          <w:szCs w:val="22"/>
        </w:rPr>
      </w:pPr>
      <w:r>
        <w:rPr>
          <w:rFonts w:ascii="Garamond" w:hAnsi="Garamond"/>
          <w:sz w:val="22"/>
          <w:szCs w:val="22"/>
        </w:rPr>
        <w:instrText>3 Exposure to real life examples of adaptations in the area of: assessment, Individual therapy, and Group therapy</w:instrText>
      </w:r>
    </w:p>
    <w:p w:rsidR="004777F1">
      <w:pPr>
        <w:bidi w:val="0"/>
        <w:spacing w:after="280" w:afterAutospacing="1"/>
        <w:rPr>
          <w:rFonts w:ascii="Garamond" w:hAnsi="Garamond"/>
          <w:sz w:val="22"/>
          <w:szCs w:val="22"/>
        </w:rPr>
      </w:pPr>
      <w:r>
        <w:rPr>
          <w:rFonts w:ascii="Garamond" w:hAnsi="Garamond"/>
          <w:sz w:val="22"/>
          <w:szCs w:val="22"/>
        </w:rPr>
        <w:instrText xml:space="preserve">4 Develop new tools and ideas for application in their daily work.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Understand the rationale for cultural adaptation</w:instrText>
      </w:r>
    </w:p>
    <w:p w:rsidP="004777F1">
      <w:pPr>
        <w:ind w:left="540" w:hanging="180"/>
        <w:rPr>
          <w:rFonts w:ascii="Garamond" w:hAnsi="Garamond"/>
          <w:sz w:val="22"/>
          <w:szCs w:val="22"/>
        </w:rPr>
      </w:pPr>
      <w:r>
        <w:rPr>
          <w:rFonts w:ascii="Garamond" w:hAnsi="Garamond"/>
          <w:sz w:val="22"/>
          <w:szCs w:val="22"/>
        </w:rPr>
        <w:instrText>2 Learn different cultural adaptation frameworks</w:instrText>
      </w:r>
    </w:p>
    <w:p w:rsidP="004777F1">
      <w:pPr>
        <w:ind w:left="540" w:hanging="180"/>
        <w:rPr>
          <w:rFonts w:ascii="Garamond" w:hAnsi="Garamond"/>
          <w:sz w:val="22"/>
          <w:szCs w:val="22"/>
        </w:rPr>
      </w:pPr>
      <w:r>
        <w:rPr>
          <w:rFonts w:ascii="Garamond" w:hAnsi="Garamond"/>
          <w:sz w:val="22"/>
          <w:szCs w:val="22"/>
        </w:rPr>
        <w:instrText>3 Exposure to real life examples of adaptations in the area of: assessment, Individual therapy, and Group therapy</w:instrText>
      </w:r>
    </w:p>
    <w:p w:rsidP="004777F1">
      <w:pPr>
        <w:ind w:left="540" w:hanging="180"/>
        <w:rPr>
          <w:rFonts w:ascii="Garamond" w:hAnsi="Garamond"/>
          <w:sz w:val="22"/>
          <w:szCs w:val="22"/>
        </w:rPr>
      </w:pPr>
      <w:r>
        <w:rPr>
          <w:rFonts w:ascii="Garamond" w:hAnsi="Garamond"/>
          <w:sz w:val="22"/>
          <w:szCs w:val="22"/>
        </w:rPr>
        <w:instrText xml:space="preserve">4 Develop new tools and ideas for application in their daily work.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Understand the rationale for cultural adaptation</w:t>
      </w:r>
    </w:p>
    <w:p w:rsidP="004777F1">
      <w:pPr>
        <w:ind w:left="540" w:hanging="180"/>
        <w:rPr>
          <w:rFonts w:ascii="Garamond" w:hAnsi="Garamond"/>
          <w:sz w:val="22"/>
          <w:szCs w:val="22"/>
        </w:rPr>
      </w:pPr>
      <w:r>
        <w:rPr>
          <w:rFonts w:ascii="Garamond" w:hAnsi="Garamond"/>
          <w:sz w:val="22"/>
          <w:szCs w:val="22"/>
        </w:rPr>
        <w:t>2 Learn different cultural adaptation frameworks</w:t>
      </w:r>
    </w:p>
    <w:p w:rsidP="004777F1">
      <w:pPr>
        <w:ind w:left="540" w:hanging="180"/>
        <w:rPr>
          <w:rFonts w:ascii="Garamond" w:hAnsi="Garamond"/>
          <w:sz w:val="22"/>
          <w:szCs w:val="22"/>
        </w:rPr>
      </w:pPr>
      <w:r>
        <w:rPr>
          <w:rFonts w:ascii="Garamond" w:hAnsi="Garamond"/>
          <w:sz w:val="22"/>
          <w:szCs w:val="22"/>
        </w:rPr>
        <w:t>3 Exposure to real life examples of adaptations in the area of: assessment, Individual therapy, and Group therapy</w:t>
      </w:r>
    </w:p>
    <w:p w:rsidR="004777F1" w:rsidP="004777F1">
      <w:pPr>
        <w:ind w:left="540" w:hanging="180"/>
        <w:rPr>
          <w:rFonts w:ascii="Garamond" w:hAnsi="Garamond"/>
          <w:sz w:val="22"/>
          <w:szCs w:val="22"/>
        </w:rPr>
      </w:pPr>
      <w:r>
        <w:rPr>
          <w:rFonts w:ascii="Garamond" w:hAnsi="Garamond"/>
          <w:sz w:val="22"/>
          <w:szCs w:val="22"/>
        </w:rPr>
        <w:t xml:space="preserve">4 Develop new tools and ideas for application in their daily work.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3.00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589819062"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3.00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861513492"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647496430"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