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Treating Relational Health: Parent-Child &amp; Family Relationships (#32336)</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Treating Relational Health: Parent-Child &amp; Family Relationships (#32336)</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11,</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Schaffner, IMFT-S, 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the impact of relationships on behavior/symptoms and behaviors on relationships</w:instrText>
      </w:r>
    </w:p>
    <w:p w:rsidR="004777F1">
      <w:pPr>
        <w:bidi w:val="0"/>
        <w:spacing w:after="280" w:afterAutospacing="1"/>
        <w:rPr>
          <w:rFonts w:ascii="Garamond" w:hAnsi="Garamond"/>
          <w:sz w:val="22"/>
          <w:szCs w:val="22"/>
        </w:rPr>
      </w:pPr>
      <w:r>
        <w:rPr>
          <w:rFonts w:ascii="Garamond" w:hAnsi="Garamond"/>
          <w:sz w:val="22"/>
          <w:szCs w:val="22"/>
        </w:rPr>
        <w:instrText>2 Identify 2 strategies for families to support the parent-child relationship</w:instrText>
      </w:r>
    </w:p>
    <w:p w:rsidR="004777F1">
      <w:pPr>
        <w:bidi w:val="0"/>
        <w:spacing w:after="280" w:afterAutospacing="1"/>
        <w:rPr>
          <w:rFonts w:ascii="Garamond" w:hAnsi="Garamond"/>
          <w:sz w:val="22"/>
          <w:szCs w:val="22"/>
        </w:rPr>
      </w:pPr>
      <w:r>
        <w:rPr>
          <w:rFonts w:ascii="Garamond" w:hAnsi="Garamond"/>
          <w:sz w:val="22"/>
          <w:szCs w:val="22"/>
        </w:rPr>
        <w:instrText>3 Describe relational dynamics and 1-2 tools for treatment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impact of relationships on behavior/symptoms and behaviors on relationships</w:instrText>
      </w:r>
    </w:p>
    <w:p w:rsidP="004777F1">
      <w:pPr>
        <w:ind w:left="540" w:hanging="180"/>
        <w:rPr>
          <w:rFonts w:ascii="Garamond" w:hAnsi="Garamond"/>
          <w:sz w:val="22"/>
          <w:szCs w:val="22"/>
        </w:rPr>
      </w:pPr>
      <w:r>
        <w:rPr>
          <w:rFonts w:ascii="Garamond" w:hAnsi="Garamond"/>
          <w:sz w:val="22"/>
          <w:szCs w:val="22"/>
        </w:rPr>
        <w:instrText>2 Identify 2 strategies for families to support the parent-child relationship</w:instrText>
      </w:r>
    </w:p>
    <w:p w:rsidP="004777F1">
      <w:pPr>
        <w:ind w:left="540" w:hanging="180"/>
        <w:rPr>
          <w:rFonts w:ascii="Garamond" w:hAnsi="Garamond"/>
          <w:sz w:val="22"/>
          <w:szCs w:val="22"/>
        </w:rPr>
      </w:pPr>
      <w:r>
        <w:rPr>
          <w:rFonts w:ascii="Garamond" w:hAnsi="Garamond"/>
          <w:sz w:val="22"/>
          <w:szCs w:val="22"/>
        </w:rPr>
        <w:instrText>3 Describe relational dynamics and 1-2 tools for treatment</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impact of relationships on behavior/symptoms and behaviors on relationships</w:t>
      </w:r>
    </w:p>
    <w:p w:rsidP="004777F1">
      <w:pPr>
        <w:ind w:left="540" w:hanging="180"/>
        <w:rPr>
          <w:rFonts w:ascii="Garamond" w:hAnsi="Garamond"/>
          <w:sz w:val="22"/>
          <w:szCs w:val="22"/>
        </w:rPr>
      </w:pPr>
      <w:r>
        <w:rPr>
          <w:rFonts w:ascii="Garamond" w:hAnsi="Garamond"/>
          <w:sz w:val="22"/>
          <w:szCs w:val="22"/>
        </w:rPr>
        <w:t>2 Identify 2 strategies for families to support the parent-child relationship</w:t>
      </w:r>
    </w:p>
    <w:p w:rsidR="004777F1" w:rsidP="004777F1">
      <w:pPr>
        <w:ind w:left="540" w:hanging="180"/>
        <w:rPr>
          <w:rFonts w:ascii="Garamond" w:hAnsi="Garamond"/>
          <w:sz w:val="22"/>
          <w:szCs w:val="22"/>
        </w:rPr>
      </w:pPr>
      <w:r>
        <w:rPr>
          <w:rFonts w:ascii="Garamond" w:hAnsi="Garamond"/>
          <w:sz w:val="22"/>
          <w:szCs w:val="22"/>
        </w:rPr>
        <w:t>3 Describe relational dynamics and 1-2 tools for treatment</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8170489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359012859"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141963605"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