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Disordered Eating v Eating Disorders (#32333)</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Disordered Eating v Eating Disorders (#32333)</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12,</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Griffin Stout,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Thobe, MS/LPCC-S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J Katterheinrich, LPCC-S, CCLS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L Glodowski, 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evidence-based practice standards that will inform patient care.</w:instrText>
      </w:r>
    </w:p>
    <w:p w:rsidR="004777F1">
      <w:pPr>
        <w:bidi w:val="0"/>
        <w:spacing w:after="280" w:afterAutospacing="1"/>
        <w:rPr>
          <w:rFonts w:ascii="Garamond" w:hAnsi="Garamond"/>
          <w:sz w:val="22"/>
          <w:szCs w:val="22"/>
        </w:rPr>
      </w:pPr>
      <w:r>
        <w:rPr>
          <w:rFonts w:ascii="Garamond" w:hAnsi="Garamond"/>
          <w:sz w:val="22"/>
          <w:szCs w:val="22"/>
        </w:rPr>
        <w:instrText xml:space="preserve">2 Evaluate their current practice and identify adjustments warranted based on information presented. </w:instrText>
      </w:r>
    </w:p>
    <w:p w:rsidR="004777F1">
      <w:pPr>
        <w:bidi w:val="0"/>
        <w:spacing w:after="280" w:afterAutospacing="1"/>
        <w:rPr>
          <w:rFonts w:ascii="Garamond" w:hAnsi="Garamond"/>
          <w:sz w:val="22"/>
          <w:szCs w:val="22"/>
        </w:rPr>
      </w:pPr>
      <w:r>
        <w:rPr>
          <w:rFonts w:ascii="Garamond" w:hAnsi="Garamond"/>
          <w:sz w:val="22"/>
          <w:szCs w:val="22"/>
        </w:rPr>
        <w:instrText>3 Identify 2-3 strategies that will be integrated into their practice.</w:instrText>
      </w:r>
    </w:p>
    <w:p w:rsidR="004777F1">
      <w:pPr>
        <w:bidi w:val="0"/>
        <w:spacing w:after="280" w:afterAutospacing="1"/>
        <w:rPr>
          <w:rFonts w:ascii="Garamond" w:hAnsi="Garamond"/>
          <w:sz w:val="22"/>
          <w:szCs w:val="22"/>
        </w:rPr>
      </w:pPr>
      <w:r>
        <w:rPr>
          <w:rFonts w:ascii="Garamond" w:hAnsi="Garamond"/>
          <w:sz w:val="22"/>
          <w:szCs w:val="22"/>
        </w:rPr>
        <w:instrText>4 Improve communication and teamwork within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evidence-based practice standards that will inform patient care.</w:instrText>
      </w:r>
    </w:p>
    <w:p w:rsidP="004777F1">
      <w:pPr>
        <w:ind w:left="540" w:hanging="180"/>
        <w:rPr>
          <w:rFonts w:ascii="Garamond" w:hAnsi="Garamond"/>
          <w:sz w:val="22"/>
          <w:szCs w:val="22"/>
        </w:rPr>
      </w:pPr>
      <w:r>
        <w:rPr>
          <w:rFonts w:ascii="Garamond" w:hAnsi="Garamond"/>
          <w:sz w:val="22"/>
          <w:szCs w:val="22"/>
        </w:rPr>
        <w:instrText xml:space="preserve">2 Evaluate their current practice and identify adjustments warranted based on information presented. </w:instrText>
      </w:r>
    </w:p>
    <w:p w:rsidP="004777F1">
      <w:pPr>
        <w:ind w:left="540" w:hanging="180"/>
        <w:rPr>
          <w:rFonts w:ascii="Garamond" w:hAnsi="Garamond"/>
          <w:sz w:val="22"/>
          <w:szCs w:val="22"/>
        </w:rPr>
      </w:pPr>
      <w:r>
        <w:rPr>
          <w:rFonts w:ascii="Garamond" w:hAnsi="Garamond"/>
          <w:sz w:val="22"/>
          <w:szCs w:val="22"/>
        </w:rPr>
        <w:instrText>3 Identify 2-3 strategies that will be integrated into their practice.</w:instrText>
      </w:r>
    </w:p>
    <w:p w:rsidP="004777F1">
      <w:pPr>
        <w:ind w:left="540" w:hanging="180"/>
        <w:rPr>
          <w:rFonts w:ascii="Garamond" w:hAnsi="Garamond"/>
          <w:sz w:val="22"/>
          <w:szCs w:val="22"/>
        </w:rPr>
      </w:pPr>
      <w:r>
        <w:rPr>
          <w:rFonts w:ascii="Garamond" w:hAnsi="Garamond"/>
          <w:sz w:val="22"/>
          <w:szCs w:val="22"/>
        </w:rPr>
        <w:instrText>4 Improve communication and teamwork within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evidence-based practice standards that will inform patient care.</w:t>
      </w:r>
    </w:p>
    <w:p w:rsidP="004777F1">
      <w:pPr>
        <w:ind w:left="540" w:hanging="180"/>
        <w:rPr>
          <w:rFonts w:ascii="Garamond" w:hAnsi="Garamond"/>
          <w:sz w:val="22"/>
          <w:szCs w:val="22"/>
        </w:rPr>
      </w:pPr>
      <w:r>
        <w:rPr>
          <w:rFonts w:ascii="Garamond" w:hAnsi="Garamond"/>
          <w:sz w:val="22"/>
          <w:szCs w:val="22"/>
        </w:rPr>
        <w:t xml:space="preserve">2 Evaluate their current practice and identify adjustments warranted based on information presented. </w:t>
      </w:r>
    </w:p>
    <w:p w:rsidP="004777F1">
      <w:pPr>
        <w:ind w:left="540" w:hanging="180"/>
        <w:rPr>
          <w:rFonts w:ascii="Garamond" w:hAnsi="Garamond"/>
          <w:sz w:val="22"/>
          <w:szCs w:val="22"/>
        </w:rPr>
      </w:pPr>
      <w:r>
        <w:rPr>
          <w:rFonts w:ascii="Garamond" w:hAnsi="Garamond"/>
          <w:sz w:val="22"/>
          <w:szCs w:val="22"/>
        </w:rPr>
        <w:t>3 Identify 2-3 strategies that will be integrated into their practice.</w:t>
      </w:r>
    </w:p>
    <w:p w:rsidR="004777F1" w:rsidP="004777F1">
      <w:pPr>
        <w:ind w:left="540" w:hanging="180"/>
        <w:rPr>
          <w:rFonts w:ascii="Garamond" w:hAnsi="Garamond"/>
          <w:sz w:val="22"/>
          <w:szCs w:val="22"/>
        </w:rPr>
      </w:pPr>
      <w:r>
        <w:rPr>
          <w:rFonts w:ascii="Garamond" w:hAnsi="Garamond"/>
          <w:sz w:val="22"/>
          <w:szCs w:val="22"/>
        </w:rPr>
        <w:t>4 Improve communication and teamwork within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424671106"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646849363"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31159287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