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Partnering with Prescribing Providers (#32332)</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Partnering with Prescribing Providers (#32332)</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14,</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Giffey,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- 07/05/2023</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Understand the education and training backgrounds of the most common prescribers</w:instrText>
      </w:r>
    </w:p>
    <w:p w:rsidR="004777F1">
      <w:pPr>
        <w:bidi w:val="0"/>
        <w:spacing w:after="280" w:afterAutospacing="1"/>
        <w:rPr>
          <w:rFonts w:ascii="Garamond" w:hAnsi="Garamond"/>
          <w:sz w:val="22"/>
          <w:szCs w:val="22"/>
        </w:rPr>
      </w:pPr>
      <w:r>
        <w:rPr>
          <w:rFonts w:ascii="Garamond" w:hAnsi="Garamond"/>
          <w:sz w:val="22"/>
          <w:szCs w:val="22"/>
        </w:rPr>
        <w:instrText>2 Review the components of a psychiatric assessment</w:instrText>
      </w:r>
    </w:p>
    <w:p w:rsidR="004777F1">
      <w:pPr>
        <w:bidi w:val="0"/>
        <w:spacing w:after="280" w:afterAutospacing="1"/>
        <w:rPr>
          <w:rFonts w:ascii="Garamond" w:hAnsi="Garamond"/>
          <w:sz w:val="22"/>
          <w:szCs w:val="22"/>
        </w:rPr>
      </w:pPr>
      <w:r>
        <w:rPr>
          <w:rFonts w:ascii="Garamond" w:hAnsi="Garamond"/>
          <w:sz w:val="22"/>
          <w:szCs w:val="22"/>
        </w:rPr>
        <w:instrText xml:space="preserve">3 Outline various diagnostic categories and common medications utilized </w:instrText>
      </w:r>
    </w:p>
    <w:p w:rsidR="004777F1">
      <w:pPr>
        <w:bidi w:val="0"/>
        <w:spacing w:after="280" w:afterAutospacing="1"/>
        <w:rPr>
          <w:rFonts w:ascii="Garamond" w:hAnsi="Garamond"/>
          <w:sz w:val="22"/>
          <w:szCs w:val="22"/>
        </w:rPr>
      </w:pPr>
      <w:r>
        <w:rPr>
          <w:rFonts w:ascii="Garamond" w:hAnsi="Garamond"/>
          <w:sz w:val="22"/>
          <w:szCs w:val="22"/>
        </w:rPr>
        <w:instrText>4 Detail resources for further review and dissemination to patients and families</w:instrText>
      </w:r>
    </w:p>
    <w:p w:rsidR="004777F1">
      <w:pPr>
        <w:bidi w:val="0"/>
        <w:spacing w:after="280" w:afterAutospacing="1"/>
        <w:rPr>
          <w:rFonts w:ascii="Garamond" w:hAnsi="Garamond"/>
          <w:sz w:val="22"/>
          <w:szCs w:val="22"/>
        </w:rPr>
      </w:pPr>
      <w:r>
        <w:rPr>
          <w:rFonts w:ascii="Garamond" w:hAnsi="Garamond"/>
          <w:sz w:val="22"/>
          <w:szCs w:val="22"/>
        </w:rPr>
        <w:instrText xml:space="preserve">5 Provide a prescriber’s perspective on collaborative care </w:instrText>
      </w:r>
    </w:p>
    <w:p w:rsidR="004777F1">
      <w:pPr>
        <w:bidi w:val="0"/>
        <w:spacing w:after="280" w:afterAutospacing="1"/>
        <w:rPr>
          <w:rFonts w:ascii="Garamond" w:hAnsi="Garamond"/>
          <w:sz w:val="22"/>
          <w:szCs w:val="22"/>
        </w:rPr>
      </w:pPr>
      <w:r>
        <w:rPr>
          <w:rFonts w:ascii="Garamond" w:hAnsi="Garamond"/>
          <w:sz w:val="22"/>
          <w:szCs w:val="22"/>
        </w:rPr>
        <w:instrText>6 Outline diagnostic and medication concerns that should be relayed to prescribers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Understand the education and training backgrounds of the most common prescribers</w:instrText>
      </w:r>
    </w:p>
    <w:p w:rsidP="004777F1">
      <w:pPr>
        <w:ind w:left="540" w:hanging="180"/>
        <w:rPr>
          <w:rFonts w:ascii="Garamond" w:hAnsi="Garamond"/>
          <w:sz w:val="22"/>
          <w:szCs w:val="22"/>
        </w:rPr>
      </w:pPr>
      <w:r>
        <w:rPr>
          <w:rFonts w:ascii="Garamond" w:hAnsi="Garamond"/>
          <w:sz w:val="22"/>
          <w:szCs w:val="22"/>
        </w:rPr>
        <w:instrText>2 Review the components of a psychiatric assessment</w:instrText>
      </w:r>
    </w:p>
    <w:p w:rsidP="004777F1">
      <w:pPr>
        <w:ind w:left="540" w:hanging="180"/>
        <w:rPr>
          <w:rFonts w:ascii="Garamond" w:hAnsi="Garamond"/>
          <w:sz w:val="22"/>
          <w:szCs w:val="22"/>
        </w:rPr>
      </w:pPr>
      <w:r>
        <w:rPr>
          <w:rFonts w:ascii="Garamond" w:hAnsi="Garamond"/>
          <w:sz w:val="22"/>
          <w:szCs w:val="22"/>
        </w:rPr>
        <w:instrText xml:space="preserve">3 Outline various diagnostic categories and common medications utilized </w:instrText>
      </w:r>
    </w:p>
    <w:p w:rsidP="004777F1">
      <w:pPr>
        <w:ind w:left="540" w:hanging="180"/>
        <w:rPr>
          <w:rFonts w:ascii="Garamond" w:hAnsi="Garamond"/>
          <w:sz w:val="22"/>
          <w:szCs w:val="22"/>
        </w:rPr>
      </w:pPr>
      <w:r>
        <w:rPr>
          <w:rFonts w:ascii="Garamond" w:hAnsi="Garamond"/>
          <w:sz w:val="22"/>
          <w:szCs w:val="22"/>
        </w:rPr>
        <w:instrText>4 Detail resources for further review and dissemination to patients and families</w:instrText>
      </w:r>
    </w:p>
    <w:p w:rsidP="004777F1">
      <w:pPr>
        <w:ind w:left="540" w:hanging="180"/>
        <w:rPr>
          <w:rFonts w:ascii="Garamond" w:hAnsi="Garamond"/>
          <w:sz w:val="22"/>
          <w:szCs w:val="22"/>
        </w:rPr>
      </w:pPr>
      <w:r>
        <w:rPr>
          <w:rFonts w:ascii="Garamond" w:hAnsi="Garamond"/>
          <w:sz w:val="22"/>
          <w:szCs w:val="22"/>
        </w:rPr>
        <w:instrText xml:space="preserve">5 Provide a prescriber’s perspective on collaborative care </w:instrText>
      </w:r>
    </w:p>
    <w:p w:rsidP="004777F1">
      <w:pPr>
        <w:ind w:left="540" w:hanging="180"/>
        <w:rPr>
          <w:rFonts w:ascii="Garamond" w:hAnsi="Garamond"/>
          <w:sz w:val="22"/>
          <w:szCs w:val="22"/>
        </w:rPr>
      </w:pPr>
      <w:r>
        <w:rPr>
          <w:rFonts w:ascii="Garamond" w:hAnsi="Garamond"/>
          <w:sz w:val="22"/>
          <w:szCs w:val="22"/>
        </w:rPr>
        <w:instrText>6 Outline diagnostic and medication concerns that should be relayed to prescribers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Understand the education and training backgrounds of the most common prescribers</w:t>
      </w:r>
    </w:p>
    <w:p w:rsidP="004777F1">
      <w:pPr>
        <w:ind w:left="540" w:hanging="180"/>
        <w:rPr>
          <w:rFonts w:ascii="Garamond" w:hAnsi="Garamond"/>
          <w:sz w:val="22"/>
          <w:szCs w:val="22"/>
        </w:rPr>
      </w:pPr>
      <w:r>
        <w:rPr>
          <w:rFonts w:ascii="Garamond" w:hAnsi="Garamond"/>
          <w:sz w:val="22"/>
          <w:szCs w:val="22"/>
        </w:rPr>
        <w:t>2 Review the components of a psychiatric assessment</w:t>
      </w:r>
    </w:p>
    <w:p w:rsidP="004777F1">
      <w:pPr>
        <w:ind w:left="540" w:hanging="180"/>
        <w:rPr>
          <w:rFonts w:ascii="Garamond" w:hAnsi="Garamond"/>
          <w:sz w:val="22"/>
          <w:szCs w:val="22"/>
        </w:rPr>
      </w:pPr>
      <w:r>
        <w:rPr>
          <w:rFonts w:ascii="Garamond" w:hAnsi="Garamond"/>
          <w:sz w:val="22"/>
          <w:szCs w:val="22"/>
        </w:rPr>
        <w:t xml:space="preserve">3 Outline various diagnostic categories and common medications utilized </w:t>
      </w:r>
    </w:p>
    <w:p w:rsidP="004777F1">
      <w:pPr>
        <w:ind w:left="540" w:hanging="180"/>
        <w:rPr>
          <w:rFonts w:ascii="Garamond" w:hAnsi="Garamond"/>
          <w:sz w:val="22"/>
          <w:szCs w:val="22"/>
        </w:rPr>
      </w:pPr>
      <w:r>
        <w:rPr>
          <w:rFonts w:ascii="Garamond" w:hAnsi="Garamond"/>
          <w:sz w:val="22"/>
          <w:szCs w:val="22"/>
        </w:rPr>
        <w:t>4 Detail resources for further review and dissemination to patients and families</w:t>
      </w:r>
    </w:p>
    <w:p w:rsidP="004777F1">
      <w:pPr>
        <w:ind w:left="540" w:hanging="180"/>
        <w:rPr>
          <w:rFonts w:ascii="Garamond" w:hAnsi="Garamond"/>
          <w:sz w:val="22"/>
          <w:szCs w:val="22"/>
        </w:rPr>
      </w:pPr>
      <w:r>
        <w:rPr>
          <w:rFonts w:ascii="Garamond" w:hAnsi="Garamond"/>
          <w:sz w:val="22"/>
          <w:szCs w:val="22"/>
        </w:rPr>
        <w:t xml:space="preserve">5 Provide a prescriber’s perspective on collaborative care </w:t>
      </w:r>
    </w:p>
    <w:p w:rsidR="004777F1" w:rsidP="004777F1">
      <w:pPr>
        <w:ind w:left="540" w:hanging="180"/>
        <w:rPr>
          <w:rFonts w:ascii="Garamond" w:hAnsi="Garamond"/>
          <w:sz w:val="22"/>
          <w:szCs w:val="22"/>
        </w:rPr>
      </w:pPr>
      <w:r>
        <w:rPr>
          <w:rFonts w:ascii="Garamond" w:hAnsi="Garamond"/>
          <w:sz w:val="22"/>
          <w:szCs w:val="22"/>
        </w:rPr>
        <w:t>6 Outline diagnostic and medication concerns that should be relayed to prescribers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2.00</w:instrText>
      </w:r>
      <w:r>
        <w:rPr>
          <w:sz w:val="20"/>
          <w:szCs w:val="20"/>
        </w:rPr>
        <w:instrText xml:space="preserve"> &gt; 0 "(</w:instrText>
      </w:r>
      <w:r>
        <w:rPr>
          <w:sz w:val="20"/>
          <w:szCs w:val="20"/>
        </w:rPr>
        <w:instrText>2.00</w:instrText>
      </w:r>
      <w:r>
        <w:rPr>
          <w:sz w:val="20"/>
          <w:szCs w:val="20"/>
        </w:rPr>
        <w:instrText xml:space="preserve"> ANCC contact hour(s)) " "" </w:instrText>
      </w:r>
      <w:r>
        <w:rPr>
          <w:sz w:val="20"/>
          <w:szCs w:val="20"/>
        </w:rPr>
        <w:fldChar w:fldCharType="separate"/>
      </w:r>
      <w:r>
        <w:rPr>
          <w:sz w:val="20"/>
          <w:szCs w:val="20"/>
        </w:rPr>
        <w:t>(</w:t>
      </w:r>
      <w:r>
        <w:rPr>
          <w:sz w:val="20"/>
          <w:szCs w:val="20"/>
        </w:rPr>
        <w:t>2.00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2.00</w:instrText>
      </w:r>
      <w:r>
        <w:rPr>
          <w:sz w:val="20"/>
          <w:szCs w:val="20"/>
        </w:rPr>
        <w:instrText xml:space="preserve"> &gt; 0 "(</w:instrText>
      </w:r>
      <w:r>
        <w:rPr>
          <w:sz w:val="20"/>
          <w:szCs w:val="20"/>
        </w:rPr>
        <w:instrText>2.00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2.00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2.00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2.00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2.00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2.00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7387925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2.00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2.00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2.00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981152334"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2.00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2.00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2.00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266881685"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2.00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