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Evidence-based Assessment and Treatment of Selective Mutism (#32328)</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Evidence-based Assessment and Treatment of Selective Mutism (#32328)</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February 9,</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Siroky,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Attendees will have a deeper understanding of the primary symptoms of Selective Mutism.</w:instrText>
      </w:r>
    </w:p>
    <w:p w:rsidR="004777F1">
      <w:pPr>
        <w:bidi w:val="0"/>
        <w:spacing w:after="280" w:afterAutospacing="1"/>
        <w:rPr>
          <w:rFonts w:ascii="Garamond" w:hAnsi="Garamond"/>
          <w:sz w:val="22"/>
          <w:szCs w:val="22"/>
        </w:rPr>
      </w:pPr>
      <w:r>
        <w:rPr>
          <w:rFonts w:ascii="Garamond" w:hAnsi="Garamond"/>
          <w:sz w:val="22"/>
          <w:szCs w:val="22"/>
        </w:rPr>
        <w:instrText xml:space="preserve">2 Attendees will learn a number of specific tools for assessing the presence and severity of SM symptoms </w:instrText>
      </w:r>
    </w:p>
    <w:p w:rsidR="004777F1">
      <w:pPr>
        <w:bidi w:val="0"/>
        <w:spacing w:after="280" w:afterAutospacing="1"/>
        <w:rPr>
          <w:rFonts w:ascii="Garamond" w:hAnsi="Garamond"/>
          <w:sz w:val="22"/>
          <w:szCs w:val="22"/>
        </w:rPr>
      </w:pPr>
      <w:r>
        <w:rPr>
          <w:rFonts w:ascii="Garamond" w:hAnsi="Garamond"/>
          <w:sz w:val="22"/>
          <w:szCs w:val="22"/>
        </w:rPr>
        <w:instrText xml:space="preserve">3 Attendees will be able to describe the behavioral conceptualization of SM, and how SM symptoms are maintained. </w:instrText>
      </w:r>
    </w:p>
    <w:p w:rsidR="004777F1">
      <w:pPr>
        <w:bidi w:val="0"/>
        <w:spacing w:after="280" w:afterAutospacing="1"/>
        <w:rPr>
          <w:rFonts w:ascii="Garamond" w:hAnsi="Garamond"/>
          <w:sz w:val="22"/>
          <w:szCs w:val="22"/>
        </w:rPr>
      </w:pPr>
      <w:r>
        <w:rPr>
          <w:rFonts w:ascii="Garamond" w:hAnsi="Garamond"/>
          <w:sz w:val="22"/>
          <w:szCs w:val="22"/>
        </w:rPr>
        <w:instrText xml:space="preserve">4 Attendees will be able to connect their current experience with behavioral therapy to evidence-based treatment approach for SM. </w:instrText>
      </w:r>
    </w:p>
    <w:p w:rsidR="004777F1">
      <w:pPr>
        <w:bidi w:val="0"/>
        <w:spacing w:after="280" w:afterAutospacing="1"/>
        <w:rPr>
          <w:rFonts w:ascii="Garamond" w:hAnsi="Garamond"/>
          <w:sz w:val="22"/>
          <w:szCs w:val="22"/>
        </w:rPr>
      </w:pPr>
      <w:r>
        <w:rPr>
          <w:rFonts w:ascii="Garamond" w:hAnsi="Garamond"/>
          <w:sz w:val="22"/>
          <w:szCs w:val="22"/>
        </w:rPr>
        <w:instrText>5 Attendees will learn about specific strategies and access to other resources to support their own clinical practice in treating children with SM</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Attendees will have a deeper understanding of the primary symptoms of Selective Mutism.</w:instrText>
      </w:r>
    </w:p>
    <w:p w:rsidP="004777F1">
      <w:pPr>
        <w:ind w:left="540" w:hanging="180"/>
        <w:rPr>
          <w:rFonts w:ascii="Garamond" w:hAnsi="Garamond"/>
          <w:sz w:val="22"/>
          <w:szCs w:val="22"/>
        </w:rPr>
      </w:pPr>
      <w:r>
        <w:rPr>
          <w:rFonts w:ascii="Garamond" w:hAnsi="Garamond"/>
          <w:sz w:val="22"/>
          <w:szCs w:val="22"/>
        </w:rPr>
        <w:instrText xml:space="preserve">2 Attendees will learn a number of specific tools for assessing the presence and severity of SM symptoms </w:instrText>
      </w:r>
    </w:p>
    <w:p w:rsidP="004777F1">
      <w:pPr>
        <w:ind w:left="540" w:hanging="180"/>
        <w:rPr>
          <w:rFonts w:ascii="Garamond" w:hAnsi="Garamond"/>
          <w:sz w:val="22"/>
          <w:szCs w:val="22"/>
        </w:rPr>
      </w:pPr>
      <w:r>
        <w:rPr>
          <w:rFonts w:ascii="Garamond" w:hAnsi="Garamond"/>
          <w:sz w:val="22"/>
          <w:szCs w:val="22"/>
        </w:rPr>
        <w:instrText xml:space="preserve">3 Attendees will be able to describe the behavioral conceptualization of SM, and how SM symptoms are maintained. </w:instrText>
      </w:r>
    </w:p>
    <w:p w:rsidP="004777F1">
      <w:pPr>
        <w:ind w:left="540" w:hanging="180"/>
        <w:rPr>
          <w:rFonts w:ascii="Garamond" w:hAnsi="Garamond"/>
          <w:sz w:val="22"/>
          <w:szCs w:val="22"/>
        </w:rPr>
      </w:pPr>
      <w:r>
        <w:rPr>
          <w:rFonts w:ascii="Garamond" w:hAnsi="Garamond"/>
          <w:sz w:val="22"/>
          <w:szCs w:val="22"/>
        </w:rPr>
        <w:instrText xml:space="preserve">4 Attendees will be able to connect their current experience with behavioral therapy to evidence-based treatment approach for SM. </w:instrText>
      </w:r>
    </w:p>
    <w:p w:rsidP="004777F1">
      <w:pPr>
        <w:ind w:left="540" w:hanging="180"/>
        <w:rPr>
          <w:rFonts w:ascii="Garamond" w:hAnsi="Garamond"/>
          <w:sz w:val="22"/>
          <w:szCs w:val="22"/>
        </w:rPr>
      </w:pPr>
      <w:r>
        <w:rPr>
          <w:rFonts w:ascii="Garamond" w:hAnsi="Garamond"/>
          <w:sz w:val="22"/>
          <w:szCs w:val="22"/>
        </w:rPr>
        <w:instrText>5 Attendees will learn about specific strategies and access to other resources to support their own clinical practice in treating children with SM</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Attendees will have a deeper understanding of the primary symptoms of Selective Mutism.</w:t>
      </w:r>
    </w:p>
    <w:p w:rsidP="004777F1">
      <w:pPr>
        <w:ind w:left="540" w:hanging="180"/>
        <w:rPr>
          <w:rFonts w:ascii="Garamond" w:hAnsi="Garamond"/>
          <w:sz w:val="22"/>
          <w:szCs w:val="22"/>
        </w:rPr>
      </w:pPr>
      <w:r>
        <w:rPr>
          <w:rFonts w:ascii="Garamond" w:hAnsi="Garamond"/>
          <w:sz w:val="22"/>
          <w:szCs w:val="22"/>
        </w:rPr>
        <w:t xml:space="preserve">2 Attendees will learn a number of specific tools for assessing the presence and severity of SM symptoms </w:t>
      </w:r>
    </w:p>
    <w:p w:rsidP="004777F1">
      <w:pPr>
        <w:ind w:left="540" w:hanging="180"/>
        <w:rPr>
          <w:rFonts w:ascii="Garamond" w:hAnsi="Garamond"/>
          <w:sz w:val="22"/>
          <w:szCs w:val="22"/>
        </w:rPr>
      </w:pPr>
      <w:r>
        <w:rPr>
          <w:rFonts w:ascii="Garamond" w:hAnsi="Garamond"/>
          <w:sz w:val="22"/>
          <w:szCs w:val="22"/>
        </w:rPr>
        <w:t xml:space="preserve">3 Attendees will be able to describe the behavioral conceptualization of SM, and how SM symptoms are maintained. </w:t>
      </w:r>
    </w:p>
    <w:p w:rsidP="004777F1">
      <w:pPr>
        <w:ind w:left="540" w:hanging="180"/>
        <w:rPr>
          <w:rFonts w:ascii="Garamond" w:hAnsi="Garamond"/>
          <w:sz w:val="22"/>
          <w:szCs w:val="22"/>
        </w:rPr>
      </w:pPr>
      <w:r>
        <w:rPr>
          <w:rFonts w:ascii="Garamond" w:hAnsi="Garamond"/>
          <w:sz w:val="22"/>
          <w:szCs w:val="22"/>
        </w:rPr>
        <w:t xml:space="preserve">4 Attendees will be able to connect their current experience with behavioral therapy to evidence-based treatment approach for SM. </w:t>
      </w:r>
    </w:p>
    <w:p w:rsidR="004777F1" w:rsidP="004777F1">
      <w:pPr>
        <w:ind w:left="540" w:hanging="180"/>
        <w:rPr>
          <w:rFonts w:ascii="Garamond" w:hAnsi="Garamond"/>
          <w:sz w:val="22"/>
          <w:szCs w:val="22"/>
        </w:rPr>
      </w:pPr>
      <w:r>
        <w:rPr>
          <w:rFonts w:ascii="Garamond" w:hAnsi="Garamond"/>
          <w:sz w:val="22"/>
          <w:szCs w:val="22"/>
        </w:rPr>
        <w:t>5 Attendees will learn about specific strategies and access to other resources to support their own clinical practice in treating children with SM</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3.00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74696004"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3.00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818841764"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934062320"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