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Clinical and Scientific Advances in UTI</w:instrText>
      </w:r>
      <w:r>
        <w:rPr>
          <w:rFonts w:ascii="Garamond" w:hAnsi="Garamond"/>
          <w:bCs/>
        </w:rPr>
        <w:instrText xml:space="preserve">" </w:instrText>
      </w:r>
      <w:r>
        <w:rPr>
          <w:rFonts w:ascii="Garamond" w:hAnsi="Garamond"/>
          <w:bCs/>
        </w:rPr>
        <w:fldChar w:fldCharType="separate"/>
      </w:r>
      <w:r>
        <w:rPr>
          <w:rFonts w:ascii="Garamond" w:hAnsi="Garamond"/>
          <w:bCs/>
        </w:rPr>
        <w:t>Clinical and Scientific Advances in UTI</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July 19,</w:t>
      </w:r>
      <w:r>
        <w:rPr>
          <w:rFonts w:ascii="Garamond" w:hAnsi="Garamond"/>
          <w:bCs/>
        </w:rPr>
        <w:t xml:space="preserve"> 2024 - 3:00 PM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Ching, MD, Pediatric Urology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Sarguruathan Subashchandrobose,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Molly Ingersoll,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receive funding from OMPharma, for work on urovaxom-OMPharma - 09/21/2023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Courtney Cooke,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Non-Clinical Exception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Sheryl Justice,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Erin R Garrick,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Non-Clinical Exception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Tara Long, N/A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Non-Clinical Exception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Suzanne Geerlings,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2022 International one meeting with an international advisory board Immunotek about vaccine-Immunotek - 09/21/2023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 xml:space="preserve">1 Recognize the patient populations prone to urinary tract infections and factors involved in their increased susceptibility to infection. </w:instrText>
      </w:r>
    </w:p>
    <w:p w:rsidR="004777F1">
      <w:pPr>
        <w:bidi w:val="0"/>
        <w:spacing w:after="280" w:afterAutospacing="1"/>
        <w:rPr>
          <w:rFonts w:ascii="Garamond" w:hAnsi="Garamond"/>
          <w:sz w:val="22"/>
          <w:szCs w:val="22"/>
        </w:rPr>
      </w:pPr>
      <w:r>
        <w:rPr>
          <w:rFonts w:ascii="Garamond" w:hAnsi="Garamond"/>
          <w:sz w:val="22"/>
          <w:szCs w:val="22"/>
        </w:rPr>
        <w:instrText>2 Analyze practical considerations of caring for patients with urinary tract infections and implementing treatment.</w:instrText>
      </w:r>
    </w:p>
    <w:p w:rsidR="004777F1">
      <w:pPr>
        <w:bidi w:val="0"/>
        <w:spacing w:after="280" w:afterAutospacing="1"/>
        <w:rPr>
          <w:rFonts w:ascii="Garamond" w:hAnsi="Garamond"/>
          <w:sz w:val="22"/>
          <w:szCs w:val="22"/>
        </w:rPr>
      </w:pPr>
      <w:r>
        <w:rPr>
          <w:rFonts w:ascii="Garamond" w:hAnsi="Garamond"/>
          <w:sz w:val="22"/>
          <w:szCs w:val="22"/>
        </w:rPr>
        <w:instrText>3 Employ improvement changes in urinary tract infection management and prevention.</w:instrText>
      </w:r>
    </w:p>
    <w:p w:rsidR="004777F1">
      <w:pPr>
        <w:bidi w:val="0"/>
        <w:spacing w:after="280" w:afterAutospacing="1"/>
        <w:rPr>
          <w:rFonts w:ascii="Garamond" w:hAnsi="Garamond"/>
          <w:sz w:val="22"/>
          <w:szCs w:val="22"/>
        </w:rPr>
      </w:pPr>
      <w:r>
        <w:rPr>
          <w:rFonts w:ascii="Garamond" w:hAnsi="Garamond"/>
          <w:sz w:val="22"/>
          <w:szCs w:val="22"/>
        </w:rPr>
        <w:instrText>4 Alter the long-term sequelae of having had a urinary tract infection</w:instrText>
      </w:r>
    </w:p>
    <w:p w:rsidR="004777F1">
      <w:pPr>
        <w:bidi w:val="0"/>
        <w:spacing w:after="280" w:afterAutospacing="1"/>
        <w:rPr>
          <w:rFonts w:ascii="Garamond" w:hAnsi="Garamond"/>
          <w:sz w:val="22"/>
          <w:szCs w:val="22"/>
        </w:rPr>
      </w:pPr>
      <w:r>
        <w:rPr>
          <w:rFonts w:ascii="Garamond" w:hAnsi="Garamond"/>
          <w:sz w:val="22"/>
          <w:szCs w:val="22"/>
        </w:rPr>
        <w:instrText xml:space="preserve">5 Apply education on urinary tract infection pathology by merging the clinical impact with the research efforts in the laboratory. </w:instrText>
      </w:r>
    </w:p>
    <w:p w:rsidR="004777F1">
      <w:pPr>
        <w:bidi w:val="0"/>
        <w:spacing w:after="280" w:afterAutospacing="1"/>
        <w:rPr>
          <w:rFonts w:ascii="Garamond" w:hAnsi="Garamond"/>
          <w:sz w:val="22"/>
          <w:szCs w:val="22"/>
        </w:rPr>
      </w:pPr>
      <w:r>
        <w:rPr>
          <w:rFonts w:ascii="Garamond" w:hAnsi="Garamond"/>
          <w:sz w:val="22"/>
          <w:szCs w:val="22"/>
        </w:rPr>
        <w:instrText>6 Identify new approaches to prevent and treat urinary tract infection</w:instrText>
      </w:r>
    </w:p>
    <w:p w:rsidR="004777F1">
      <w:pPr>
        <w:bidi w:val="0"/>
        <w:spacing w:after="280" w:afterAutospacing="1"/>
        <w:rPr>
          <w:rFonts w:ascii="Garamond" w:hAnsi="Garamond"/>
          <w:sz w:val="22"/>
          <w:szCs w:val="22"/>
        </w:rPr>
      </w:pPr>
      <w:r>
        <w:rPr>
          <w:rFonts w:ascii="Garamond" w:hAnsi="Garamond"/>
          <w:sz w:val="22"/>
          <w:szCs w:val="22"/>
        </w:rPr>
        <w:instrText>7 Understand how co-morbidities and demographics may influence urinary tract infection susceptibility and severity</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 xml:space="preserve">1 Recognize the patient populations prone to urinary tract infections and factors involved in their increased susceptibility to infection. </w:instrText>
      </w:r>
    </w:p>
    <w:p w:rsidP="004777F1">
      <w:pPr>
        <w:ind w:left="540" w:hanging="180"/>
        <w:rPr>
          <w:rFonts w:ascii="Garamond" w:hAnsi="Garamond"/>
          <w:sz w:val="22"/>
          <w:szCs w:val="22"/>
        </w:rPr>
      </w:pPr>
      <w:r>
        <w:rPr>
          <w:rFonts w:ascii="Garamond" w:hAnsi="Garamond"/>
          <w:sz w:val="22"/>
          <w:szCs w:val="22"/>
        </w:rPr>
        <w:instrText>2 Analyze practical considerations of caring for patients with urinary tract infections and implementing treatment.</w:instrText>
      </w:r>
    </w:p>
    <w:p w:rsidP="004777F1">
      <w:pPr>
        <w:ind w:left="540" w:hanging="180"/>
        <w:rPr>
          <w:rFonts w:ascii="Garamond" w:hAnsi="Garamond"/>
          <w:sz w:val="22"/>
          <w:szCs w:val="22"/>
        </w:rPr>
      </w:pPr>
      <w:r>
        <w:rPr>
          <w:rFonts w:ascii="Garamond" w:hAnsi="Garamond"/>
          <w:sz w:val="22"/>
          <w:szCs w:val="22"/>
        </w:rPr>
        <w:instrText>3 Employ improvement changes in urinary tract infection management and prevention.</w:instrText>
      </w:r>
    </w:p>
    <w:p w:rsidP="004777F1">
      <w:pPr>
        <w:ind w:left="540" w:hanging="180"/>
        <w:rPr>
          <w:rFonts w:ascii="Garamond" w:hAnsi="Garamond"/>
          <w:sz w:val="22"/>
          <w:szCs w:val="22"/>
        </w:rPr>
      </w:pPr>
      <w:r>
        <w:rPr>
          <w:rFonts w:ascii="Garamond" w:hAnsi="Garamond"/>
          <w:sz w:val="22"/>
          <w:szCs w:val="22"/>
        </w:rPr>
        <w:instrText>4 Alter the long-term sequelae of having had a urinary tract infection</w:instrText>
      </w:r>
    </w:p>
    <w:p w:rsidP="004777F1">
      <w:pPr>
        <w:ind w:left="540" w:hanging="180"/>
        <w:rPr>
          <w:rFonts w:ascii="Garamond" w:hAnsi="Garamond"/>
          <w:sz w:val="22"/>
          <w:szCs w:val="22"/>
        </w:rPr>
      </w:pPr>
      <w:r>
        <w:rPr>
          <w:rFonts w:ascii="Garamond" w:hAnsi="Garamond"/>
          <w:sz w:val="22"/>
          <w:szCs w:val="22"/>
        </w:rPr>
        <w:instrText xml:space="preserve">5 Apply education on urinary tract infection pathology by merging the clinical impact with the research efforts in the laboratory. </w:instrText>
      </w:r>
    </w:p>
    <w:p w:rsidP="004777F1">
      <w:pPr>
        <w:ind w:left="540" w:hanging="180"/>
        <w:rPr>
          <w:rFonts w:ascii="Garamond" w:hAnsi="Garamond"/>
          <w:sz w:val="22"/>
          <w:szCs w:val="22"/>
        </w:rPr>
      </w:pPr>
      <w:r>
        <w:rPr>
          <w:rFonts w:ascii="Garamond" w:hAnsi="Garamond"/>
          <w:sz w:val="22"/>
          <w:szCs w:val="22"/>
        </w:rPr>
        <w:instrText>6 Identify new approaches to prevent and treat urinary tract infection</w:instrText>
      </w:r>
    </w:p>
    <w:p w:rsidP="004777F1">
      <w:pPr>
        <w:ind w:left="540" w:hanging="180"/>
        <w:rPr>
          <w:rFonts w:ascii="Garamond" w:hAnsi="Garamond"/>
          <w:sz w:val="22"/>
          <w:szCs w:val="22"/>
        </w:rPr>
      </w:pPr>
      <w:r>
        <w:rPr>
          <w:rFonts w:ascii="Garamond" w:hAnsi="Garamond"/>
          <w:sz w:val="22"/>
          <w:szCs w:val="22"/>
        </w:rPr>
        <w:instrText>7 Understand how co-morbidities and demographics may influence urinary tract infection susceptibility and severity</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 xml:space="preserve">1 Recognize the patient populations prone to urinary tract infections and factors involved in their increased susceptibility to infection. </w:t>
      </w:r>
    </w:p>
    <w:p w:rsidP="004777F1">
      <w:pPr>
        <w:ind w:left="540" w:hanging="180"/>
        <w:rPr>
          <w:rFonts w:ascii="Garamond" w:hAnsi="Garamond"/>
          <w:sz w:val="22"/>
          <w:szCs w:val="22"/>
        </w:rPr>
      </w:pPr>
      <w:r>
        <w:rPr>
          <w:rFonts w:ascii="Garamond" w:hAnsi="Garamond"/>
          <w:sz w:val="22"/>
          <w:szCs w:val="22"/>
        </w:rPr>
        <w:t>2 Analyze practical considerations of caring for patients with urinary tract infections and implementing treatment.</w:t>
      </w:r>
    </w:p>
    <w:p w:rsidP="004777F1">
      <w:pPr>
        <w:ind w:left="540" w:hanging="180"/>
        <w:rPr>
          <w:rFonts w:ascii="Garamond" w:hAnsi="Garamond"/>
          <w:sz w:val="22"/>
          <w:szCs w:val="22"/>
        </w:rPr>
      </w:pPr>
      <w:r>
        <w:rPr>
          <w:rFonts w:ascii="Garamond" w:hAnsi="Garamond"/>
          <w:sz w:val="22"/>
          <w:szCs w:val="22"/>
        </w:rPr>
        <w:t>3 Employ improvement changes in urinary tract infection management and prevention.</w:t>
      </w:r>
    </w:p>
    <w:p w:rsidP="004777F1">
      <w:pPr>
        <w:ind w:left="540" w:hanging="180"/>
        <w:rPr>
          <w:rFonts w:ascii="Garamond" w:hAnsi="Garamond"/>
          <w:sz w:val="22"/>
          <w:szCs w:val="22"/>
        </w:rPr>
      </w:pPr>
      <w:r>
        <w:rPr>
          <w:rFonts w:ascii="Garamond" w:hAnsi="Garamond"/>
          <w:sz w:val="22"/>
          <w:szCs w:val="22"/>
        </w:rPr>
        <w:t>4 Alter the long-term sequelae of having had a urinary tract infection</w:t>
      </w:r>
    </w:p>
    <w:p w:rsidP="004777F1">
      <w:pPr>
        <w:ind w:left="540" w:hanging="180"/>
        <w:rPr>
          <w:rFonts w:ascii="Garamond" w:hAnsi="Garamond"/>
          <w:sz w:val="22"/>
          <w:szCs w:val="22"/>
        </w:rPr>
      </w:pPr>
      <w:r>
        <w:rPr>
          <w:rFonts w:ascii="Garamond" w:hAnsi="Garamond"/>
          <w:sz w:val="22"/>
          <w:szCs w:val="22"/>
        </w:rPr>
        <w:t xml:space="preserve">5 Apply education on urinary tract infection pathology by merging the clinical impact with the research efforts in the laboratory. </w:t>
      </w:r>
    </w:p>
    <w:p w:rsidP="004777F1">
      <w:pPr>
        <w:ind w:left="540" w:hanging="180"/>
        <w:rPr>
          <w:rFonts w:ascii="Garamond" w:hAnsi="Garamond"/>
          <w:sz w:val="22"/>
          <w:szCs w:val="22"/>
        </w:rPr>
      </w:pPr>
      <w:r>
        <w:rPr>
          <w:rFonts w:ascii="Garamond" w:hAnsi="Garamond"/>
          <w:sz w:val="22"/>
          <w:szCs w:val="22"/>
        </w:rPr>
        <w:t>6 Identify new approaches to prevent and treat urinary tract infection</w:t>
      </w:r>
    </w:p>
    <w:p w:rsidR="004777F1" w:rsidP="004777F1">
      <w:pPr>
        <w:ind w:left="540" w:hanging="180"/>
        <w:rPr>
          <w:rFonts w:ascii="Garamond" w:hAnsi="Garamond"/>
          <w:sz w:val="22"/>
          <w:szCs w:val="22"/>
        </w:rPr>
      </w:pPr>
      <w:r>
        <w:rPr>
          <w:rFonts w:ascii="Garamond" w:hAnsi="Garamond"/>
          <w:sz w:val="22"/>
          <w:szCs w:val="22"/>
        </w:rPr>
        <w:t>7 Understand how co-morbidities and demographics may influence urinary tract infection susceptibility and severity</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11.75</w:instrText>
      </w:r>
      <w:r>
        <w:rPr>
          <w:sz w:val="20"/>
          <w:szCs w:val="20"/>
        </w:rPr>
        <w:instrText xml:space="preserve"> &gt; 0 "(</w:instrText>
      </w:r>
      <w:r>
        <w:rPr>
          <w:sz w:val="20"/>
          <w:szCs w:val="20"/>
        </w:rPr>
        <w:instrText>11.75</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11.75</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11.75</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11.75</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