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24359</w:instrText>
      </w:r>
      <w:r>
        <w:rPr>
          <w:rFonts w:ascii="Garamond" w:hAnsi="Garamond"/>
          <w:bCs/>
        </w:rPr>
        <w:instrText xml:space="preserve"> &lt;&gt; "" "</w:instrText>
      </w:r>
      <w:r>
        <w:rPr>
          <w:rFonts w:ascii="Garamond" w:hAnsi="Garamond"/>
          <w:bCs/>
        </w:rPr>
        <w:instrText>Addressing Racism in Maternal-Infant Care - Setting the Baseline</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Addressing Racism in Maternal-Infant Care - Setting the Baseline</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January 24,</w:t>
      </w:r>
      <w:r>
        <w:rPr>
          <w:rFonts w:ascii="Garamond" w:hAnsi="Garamond"/>
          <w:bCs/>
        </w:rPr>
        <w:t xml:space="preserve"> 2023 - 7:00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24359</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History of Racism within Women's Health Session One</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History of Racism within Women's Health Session One</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Venita Robinson, MHSA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Banks, Research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Valencia Walker,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Dysha Cole, MSW, LSW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Kierra Barnett,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Deja Dunning,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Kamilah Dixon,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Amber Bondurant,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Desiré Bennett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Dorian Wingard,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Roach,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Lynae Picou,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Whitney Gordon,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777F1">
      <w:pPr>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Define Anti-Racism</w:instrText>
      </w:r>
    </w:p>
    <w:p w:rsidR="004777F1">
      <w:pPr>
        <w:rPr>
          <w:rFonts w:ascii="Garamond" w:hAnsi="Garamond"/>
          <w:sz w:val="22"/>
          <w:szCs w:val="22"/>
        </w:rPr>
      </w:pPr>
      <w:r>
        <w:rPr>
          <w:rFonts w:ascii="Garamond" w:hAnsi="Garamond"/>
          <w:sz w:val="22"/>
          <w:szCs w:val="22"/>
        </w:rPr>
        <w:instrText>2 Define Health inequity</w:instrText>
      </w:r>
    </w:p>
    <w:p w:rsidR="004777F1">
      <w:pPr>
        <w:rPr>
          <w:rFonts w:ascii="Garamond" w:hAnsi="Garamond"/>
          <w:sz w:val="22"/>
          <w:szCs w:val="22"/>
        </w:rPr>
      </w:pPr>
      <w:r>
        <w:rPr>
          <w:rFonts w:ascii="Garamond" w:hAnsi="Garamond"/>
          <w:sz w:val="22"/>
          <w:szCs w:val="22"/>
        </w:rPr>
        <w:instrText>3 Recognize the impact of structural racism on reproductive health</w:instrText>
      </w:r>
    </w:p>
    <w:p w:rsidR="004777F1">
      <w:pPr>
        <w:rPr>
          <w:rFonts w:ascii="Garamond" w:hAnsi="Garamond"/>
          <w:sz w:val="22"/>
          <w:szCs w:val="22"/>
        </w:rPr>
      </w:pPr>
      <w:r>
        <w:rPr>
          <w:rFonts w:ascii="Garamond" w:hAnsi="Garamond"/>
          <w:sz w:val="22"/>
          <w:szCs w:val="22"/>
        </w:rPr>
        <w:instrText>4 Review strategies to combat structural racism as an OB-GYN</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Define Anti-Racism</w:instrText>
      </w:r>
    </w:p>
    <w:p w:rsidP="004777F1">
      <w:pPr>
        <w:ind w:left="540" w:hanging="180"/>
        <w:rPr>
          <w:rFonts w:ascii="Garamond" w:hAnsi="Garamond"/>
          <w:sz w:val="22"/>
          <w:szCs w:val="22"/>
        </w:rPr>
      </w:pPr>
      <w:r>
        <w:rPr>
          <w:rFonts w:ascii="Garamond" w:hAnsi="Garamond"/>
          <w:sz w:val="22"/>
          <w:szCs w:val="22"/>
        </w:rPr>
        <w:instrText>2 Define Health inequity</w:instrText>
      </w:r>
    </w:p>
    <w:p w:rsidP="004777F1">
      <w:pPr>
        <w:ind w:left="540" w:hanging="180"/>
        <w:rPr>
          <w:rFonts w:ascii="Garamond" w:hAnsi="Garamond"/>
          <w:sz w:val="22"/>
          <w:szCs w:val="22"/>
        </w:rPr>
      </w:pPr>
      <w:r>
        <w:rPr>
          <w:rFonts w:ascii="Garamond" w:hAnsi="Garamond"/>
          <w:sz w:val="22"/>
          <w:szCs w:val="22"/>
        </w:rPr>
        <w:instrText>3 Recognize the impact of structural racism on reproductive health</w:instrText>
      </w:r>
    </w:p>
    <w:p w:rsidP="004777F1">
      <w:pPr>
        <w:ind w:left="540" w:hanging="180"/>
        <w:rPr>
          <w:rFonts w:ascii="Garamond" w:hAnsi="Garamond"/>
          <w:sz w:val="22"/>
          <w:szCs w:val="22"/>
        </w:rPr>
      </w:pPr>
      <w:r>
        <w:rPr>
          <w:rFonts w:ascii="Garamond" w:hAnsi="Garamond"/>
          <w:sz w:val="22"/>
          <w:szCs w:val="22"/>
        </w:rPr>
        <w:instrText>4 Review strategies to combat structural racism as an OB-GYN</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Define Anti-Racism</w:t>
      </w:r>
    </w:p>
    <w:p w:rsidP="004777F1">
      <w:pPr>
        <w:ind w:left="540" w:hanging="180"/>
        <w:rPr>
          <w:rFonts w:ascii="Garamond" w:hAnsi="Garamond"/>
          <w:sz w:val="22"/>
          <w:szCs w:val="22"/>
        </w:rPr>
      </w:pPr>
      <w:r>
        <w:rPr>
          <w:rFonts w:ascii="Garamond" w:hAnsi="Garamond"/>
          <w:sz w:val="22"/>
          <w:szCs w:val="22"/>
        </w:rPr>
        <w:t>2 Define Health inequity</w:t>
      </w:r>
    </w:p>
    <w:p w:rsidP="004777F1">
      <w:pPr>
        <w:ind w:left="540" w:hanging="180"/>
        <w:rPr>
          <w:rFonts w:ascii="Garamond" w:hAnsi="Garamond"/>
          <w:sz w:val="22"/>
          <w:szCs w:val="22"/>
        </w:rPr>
      </w:pPr>
      <w:r>
        <w:rPr>
          <w:rFonts w:ascii="Garamond" w:hAnsi="Garamond"/>
          <w:sz w:val="22"/>
          <w:szCs w:val="22"/>
        </w:rPr>
        <w:t>3 Recognize the impact of structural racism on reproductive health</w:t>
      </w:r>
    </w:p>
    <w:p w:rsidR="004777F1" w:rsidP="004777F1">
      <w:pPr>
        <w:ind w:left="540" w:hanging="180"/>
        <w:rPr>
          <w:rFonts w:ascii="Garamond" w:hAnsi="Garamond"/>
          <w:sz w:val="22"/>
          <w:szCs w:val="22"/>
        </w:rPr>
      </w:pPr>
      <w:r>
        <w:rPr>
          <w:rFonts w:ascii="Garamond" w:hAnsi="Garamond"/>
          <w:sz w:val="22"/>
          <w:szCs w:val="22"/>
        </w:rPr>
        <w:t>4 Review strategies to combat structural racism as an OB-GYN</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Internet point-of-care activity,Live Activity,Other:In-person and live stream</w:instrText>
      </w:r>
      <w:r>
        <w:rPr>
          <w:sz w:val="20"/>
          <w:szCs w:val="20"/>
        </w:rPr>
        <w:instrText>"</w:instrText>
      </w:r>
      <w:r>
        <w:rPr>
          <w:sz w:val="20"/>
          <w:szCs w:val="20"/>
        </w:rPr>
        <w:instrText xml:space="preserve"> &lt;&gt; "" "</w:instrText>
      </w:r>
      <w:r>
        <w:rPr>
          <w:sz w:val="20"/>
          <w:szCs w:val="20"/>
        </w:rPr>
        <w:instrText>internet point-of-care activity,live activity,other:in-person and live stream</w:instrText>
      </w:r>
      <w:r>
        <w:rPr>
          <w:sz w:val="20"/>
          <w:szCs w:val="20"/>
        </w:rPr>
        <w:instrText xml:space="preserve">" "activity" </w:instrText>
      </w:r>
      <w:r>
        <w:rPr>
          <w:sz w:val="20"/>
          <w:szCs w:val="20"/>
        </w:rPr>
        <w:fldChar w:fldCharType="separate"/>
      </w:r>
      <w:r>
        <w:rPr>
          <w:sz w:val="20"/>
          <w:szCs w:val="20"/>
        </w:rPr>
        <w:instrText>internet point-of-care activity,live activity,other:in-person and live stream</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internet point-of-care activity,live activity,other:in-person and live stream</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32284221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96359208"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