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19457</w:instrText>
      </w:r>
      <w:r>
        <w:rPr>
          <w:rFonts w:ascii="Garamond" w:hAnsi="Garamond"/>
          <w:bCs/>
        </w:rPr>
        <w:instrText xml:space="preserve"> &lt;&gt; "" "</w:instrText>
      </w:r>
      <w:r>
        <w:rPr>
          <w:rFonts w:ascii="Garamond" w:hAnsi="Garamond"/>
          <w:bCs/>
        </w:rPr>
        <w:instrText>Neonatal APP Monthly Education Series Online Recording Version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Neonatal APP Monthly Education Series Online Recording Version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November 4,</w:t>
      </w:r>
      <w:r>
        <w:rPr>
          <w:rFonts w:ascii="Garamond" w:hAnsi="Garamond"/>
          <w:bCs/>
        </w:rPr>
        <w:t xml:space="preserve"> 2022 - 9:21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19457</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Neonatal APP Monthly Education Series Online Recording Version-Hyperbilirubinemia</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Neonatal APP Monthly Education Series Online Recording Version-Hyperbilirubinemia</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Z Kelly,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Kemper,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Rheadon Remy,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Pavel Prusakov ,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support-Merck and Co - 06/14/2022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Identify the risks associated with hyperbilirubinemia in the newborn</w:instrText>
      </w:r>
    </w:p>
    <w:p w:rsidR="004777F1">
      <w:pPr>
        <w:bidi w:val="0"/>
        <w:spacing w:after="280" w:afterAutospacing="1"/>
        <w:rPr>
          <w:rFonts w:ascii="Garamond" w:hAnsi="Garamond"/>
          <w:sz w:val="22"/>
          <w:szCs w:val="22"/>
        </w:rPr>
      </w:pPr>
      <w:r>
        <w:rPr>
          <w:rFonts w:ascii="Garamond" w:hAnsi="Garamond"/>
          <w:sz w:val="22"/>
          <w:szCs w:val="22"/>
        </w:rPr>
        <w:instrText>2 Explore the updates made to the AAP treatment recommendations for hyperbilirubinemia</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Identify the risks associated with hyperbilirubinemia in the newborn</w:instrText>
      </w:r>
    </w:p>
    <w:p w:rsidP="004777F1">
      <w:pPr>
        <w:ind w:left="540" w:hanging="180"/>
        <w:rPr>
          <w:rFonts w:ascii="Garamond" w:hAnsi="Garamond"/>
          <w:sz w:val="22"/>
          <w:szCs w:val="22"/>
        </w:rPr>
      </w:pPr>
      <w:r>
        <w:rPr>
          <w:rFonts w:ascii="Garamond" w:hAnsi="Garamond"/>
          <w:sz w:val="22"/>
          <w:szCs w:val="22"/>
        </w:rPr>
        <w:instrText>2 Explore the updates made to the AAP treatment recommendations for hyperbilirubinemia</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Identify the risks associated with hyperbilirubinemia in the newborn</w:t>
      </w:r>
    </w:p>
    <w:p w:rsidR="004777F1" w:rsidP="004777F1">
      <w:pPr>
        <w:ind w:left="540" w:hanging="180"/>
        <w:rPr>
          <w:rFonts w:ascii="Garamond" w:hAnsi="Garamond"/>
          <w:sz w:val="22"/>
          <w:szCs w:val="22"/>
        </w:rPr>
      </w:pPr>
      <w:r>
        <w:rPr>
          <w:rFonts w:ascii="Garamond" w:hAnsi="Garamond"/>
          <w:sz w:val="22"/>
          <w:szCs w:val="22"/>
        </w:rPr>
        <w:t>2 Explore the updates made to the AAP treatment recommendations for hyperbilirubinemia</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ANCC contact hour(s)) " "" </w:instrText>
      </w:r>
      <w:r>
        <w:rPr>
          <w:sz w:val="20"/>
          <w:szCs w:val="20"/>
        </w:rPr>
        <w:fldChar w:fldCharType="separate"/>
      </w:r>
      <w:r>
        <w:rPr>
          <w:sz w:val="20"/>
          <w:szCs w:val="20"/>
        </w:rPr>
        <w:t>(</w:t>
      </w:r>
      <w:r>
        <w:rPr>
          <w:sz w:val="20"/>
          <w:szCs w:val="20"/>
        </w:rPr>
        <w:t>1.00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ACPE contact hour(s)) " "" </w:instrText>
      </w:r>
      <w:r>
        <w:rPr>
          <w:sz w:val="20"/>
          <w:szCs w:val="20"/>
        </w:rPr>
        <w:fldChar w:fldCharType="separate"/>
      </w:r>
      <w:r>
        <w:rPr>
          <w:sz w:val="20"/>
          <w:szCs w:val="20"/>
        </w:rPr>
        <w:t>(</w:t>
      </w:r>
      <w:r>
        <w:rPr>
          <w:sz w:val="20"/>
          <w:szCs w:val="20"/>
        </w:rPr>
        <w:t>1.00</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1.00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114034553"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1.00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