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w:instrText>
      </w:r>
      <w:r>
        <w:rPr>
          <w:rFonts w:ascii="Garamond" w:hAnsi="Garamond"/>
          <w:bCs/>
        </w:rPr>
        <w:instrText>"</w:instrText>
      </w:r>
      <w:r>
        <w:rPr>
          <w:rFonts w:ascii="Garamond" w:hAnsi="Garamond"/>
          <w:bCs/>
        </w:rPr>
        <w:instrText xml:space="preserve"> &lt;&gt; "" "</w:instrText>
      </w:r>
      <w:r>
        <w:rPr>
          <w:rFonts w:ascii="Garamond" w:hAnsi="Garamond"/>
          <w:bCs/>
        </w:rPr>
        <w:fldChar w:fldCharType="begin"/>
      </w:r>
      <w:r>
        <w:rPr>
          <w:rFonts w:ascii="Garamond" w:hAnsi="Garamond"/>
          <w:bCs/>
        </w:rPr>
        <w:instrText xml:space="preserve"> MERGEFIELD ParentName </w:instrText>
      </w:r>
      <w:r>
        <w:rPr>
          <w:rFonts w:ascii="Garamond" w:hAnsi="Garamond"/>
          <w:bCs/>
        </w:rPr>
        <w:fldChar w:fldCharType="separate"/>
      </w:r>
      <w:r w:rsidR="00443EE9">
        <w:rPr>
          <w:rFonts w:ascii="Garamond" w:hAnsi="Garamond"/>
          <w:bCs/>
          <w:noProof/>
        </w:rPr>
        <w:instrText>«ParentName»</w:instrText>
      </w:r>
      <w:r>
        <w:rPr>
          <w:rFonts w:ascii="Garamond" w:hAnsi="Garamond"/>
          <w:bCs/>
        </w:rPr>
        <w:fldChar w:fldCharType="end"/>
      </w:r>
      <w:r>
        <w:rPr>
          <w:rFonts w:ascii="Garamond" w:hAnsi="Garamond"/>
          <w:bCs/>
        </w:rPr>
        <w:instrText>" "</w:instrText>
      </w:r>
      <w:r>
        <w:rPr>
          <w:rFonts w:ascii="Garamond" w:hAnsi="Garamond"/>
          <w:bCs/>
        </w:rPr>
        <w:instrText>Partners for Kids-Behavioral Health Community Education Series: The Practice of Ethical and Responsible Reporting of Suspected Abuse and Neglect *CSWMFT Ethics**APA Ethics** (#22288)</w:instrText>
      </w:r>
      <w:r>
        <w:rPr>
          <w:rFonts w:ascii="Garamond" w:hAnsi="Garamond"/>
          <w:bCs/>
        </w:rPr>
        <w:instrText xml:space="preserve">" </w:instrText>
      </w:r>
      <w:r>
        <w:rPr>
          <w:rFonts w:ascii="Garamond" w:hAnsi="Garamond"/>
          <w:bCs/>
        </w:rPr>
        <w:fldChar w:fldCharType="separate"/>
      </w:r>
      <w:r>
        <w:rPr>
          <w:rFonts w:ascii="Garamond" w:hAnsi="Garamond"/>
          <w:bCs/>
        </w:rPr>
        <w:t>Partners for Kids-Behavioral Health Community Education Series: The Practice of Ethical and Responsible Reporting of Suspected Abuse and Neglect *CSWMFT Ethics**APA Ethics** (#22288)</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October 14,</w:t>
      </w:r>
      <w:r>
        <w:rPr>
          <w:rFonts w:ascii="Garamond" w:hAnsi="Garamond"/>
          <w:bCs/>
        </w:rPr>
        <w:t xml:space="preserve"> 2022 - 9:00 AM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w:instrText>
      </w:r>
      <w:r w:rsidRPr="00FF34C0">
        <w:rPr>
          <w:rFonts w:ascii="Garamond" w:hAnsi="Garamond"/>
          <w:bCs/>
          <w:sz w:val="22"/>
          <w:szCs w:val="22"/>
        </w:rPr>
        <w:instrText>"</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sidR="00443EE9">
        <w:rPr>
          <w:rFonts w:ascii="Garamond" w:hAnsi="Garamond"/>
          <w:bCs/>
          <w:noProof/>
        </w:rPr>
        <w:instrText>«EventName»</w:instrText>
      </w:r>
      <w:r>
        <w:rPr>
          <w:rFonts w:ascii="Garamond" w:hAnsi="Garamond"/>
          <w:bCs/>
        </w:rPr>
        <w:fldChar w:fldCharType="end"/>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Haley Johnson, MHA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Allison DePoy, LISW-S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Christy Lumpkins, LISW-S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Karen B Tabern, PsyD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Shari Uncapher, MSW, LISW-S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Alexander Bishara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- 05/31/2022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Pam Edson, VP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Jennifer Reese, PsyD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- 12/14/2021</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Objectives </w:instrText>
      </w:r>
      <w:r>
        <w:rPr>
          <w:rFonts w:ascii="Garamond" w:hAnsi="Garamond"/>
          <w:sz w:val="22"/>
          <w:szCs w:val="22"/>
        </w:rPr>
        <w:fldChar w:fldCharType="separate"/>
      </w:r>
      <w:r>
        <w:rPr>
          <w:rFonts w:ascii="Garamond" w:hAnsi="Garamond"/>
          <w:noProof/>
          <w:sz w:val="22"/>
          <w:szCs w:val="22"/>
        </w:rPr>
        <w:instrText>«Objectives»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ANCCObjectives </w:instrText>
      </w:r>
      <w:r>
        <w:rPr>
          <w:rFonts w:ascii="Garamond" w:hAnsi="Garamond"/>
          <w:sz w:val="22"/>
          <w:szCs w:val="22"/>
        </w:rPr>
        <w:fldChar w:fldCharType="separate"/>
      </w:r>
      <w:r>
        <w:rPr>
          <w:rFonts w:ascii="Garamond" w:hAnsi="Garamond"/>
          <w:noProof/>
          <w:sz w:val="22"/>
          <w:szCs w:val="22"/>
        </w:rPr>
        <w:instrText>«ANCCObjectives»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3.00</w:instrText>
      </w:r>
      <w:r>
        <w:rPr>
          <w:sz w:val="20"/>
          <w:szCs w:val="20"/>
        </w:rPr>
        <w:instrText xml:space="preserve"> &gt; 0 "(</w:instrText>
      </w:r>
      <w:r>
        <w:rPr>
          <w:sz w:val="20"/>
          <w:szCs w:val="20"/>
        </w:rPr>
        <w:instrText>3.00</w:instrText>
      </w:r>
      <w:r>
        <w:rPr>
          <w:sz w:val="20"/>
          <w:szCs w:val="20"/>
        </w:rPr>
        <w:instrText xml:space="preserve"> ANCC contact hour(s)) " "" </w:instrText>
      </w:r>
      <w:r>
        <w:rPr>
          <w:sz w:val="20"/>
          <w:szCs w:val="20"/>
        </w:rPr>
        <w:fldChar w:fldCharType="separate"/>
      </w:r>
      <w:r>
        <w:rPr>
          <w:sz w:val="20"/>
          <w:szCs w:val="20"/>
        </w:rPr>
        <w:t>(</w:t>
      </w:r>
      <w:r>
        <w:rPr>
          <w:sz w:val="20"/>
          <w:szCs w:val="20"/>
        </w:rPr>
        <w:t>3.00</w:t>
      </w:r>
      <w:r>
        <w:rPr>
          <w:sz w:val="20"/>
          <w:szCs w:val="20"/>
        </w:rPr>
        <w:t xml:space="preserve"> ANCC contact hour(s)) </w:t>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ACPEHoursMax \# 0.00# </w:instrText>
      </w:r>
      <w:r>
        <w:rPr>
          <w:sz w:val="20"/>
          <w:szCs w:val="20"/>
        </w:rPr>
        <w:fldChar w:fldCharType="separate"/>
      </w:r>
      <w:r>
        <w:rPr>
          <w:sz w:val="20"/>
          <w:szCs w:val="20"/>
        </w:rPr>
        <w:fldChar w:fldCharType="end"/>
      </w:r>
      <w:r>
        <w:rPr>
          <w:sz w:val="20"/>
          <w:szCs w:val="20"/>
        </w:rPr>
        <w:instrText xml:space="preserve"> ACPE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3.00</w:instrText>
      </w:r>
      <w:r>
        <w:rPr>
          <w:sz w:val="20"/>
          <w:szCs w:val="20"/>
        </w:rPr>
        <w:instrText xml:space="preserve"> &gt; 0 "(</w:instrText>
      </w:r>
      <w:r>
        <w:rPr>
          <w:sz w:val="20"/>
          <w:szCs w:val="20"/>
        </w:rPr>
        <w:instrText>3.00</w:instrText>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instrText>"</w:instrText>
      </w:r>
      <w:r>
        <w:rPr>
          <w:sz w:val="20"/>
          <w:szCs w:val="20"/>
        </w:rPr>
        <w:instrText>Live Activity</w:instrText>
      </w:r>
      <w:r>
        <w:rPr>
          <w:sz w:val="20"/>
          <w:szCs w:val="20"/>
        </w:rPr>
        <w:instrText>"</w:instrText>
      </w:r>
      <w:r>
        <w:rPr>
          <w:sz w:val="20"/>
          <w:szCs w:val="20"/>
        </w:rPr>
        <w:instrText xml:space="preserve"> &lt;&gt; "" "</w:instrText>
      </w:r>
      <w:r>
        <w:rPr>
          <w:sz w:val="20"/>
          <w:szCs w:val="20"/>
        </w:rPr>
        <w:instrText>live activity</w:instrText>
      </w:r>
      <w:r>
        <w:rPr>
          <w:sz w:val="20"/>
          <w:szCs w:val="20"/>
        </w:rPr>
        <w:instrText xml:space="preserve">" "activity" </w:instrText>
      </w:r>
      <w:r>
        <w:rPr>
          <w:sz w:val="20"/>
          <w:szCs w:val="20"/>
        </w:rPr>
        <w:fldChar w:fldCharType="separate"/>
      </w:r>
      <w:r>
        <w:rPr>
          <w:sz w:val="20"/>
          <w:szCs w:val="20"/>
        </w:rPr>
        <w:instrText>live activity</w:instrText>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instrText>3.00</w:instrText>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t>(</w:t>
      </w:r>
      <w:r>
        <w:rPr>
          <w:sz w:val="20"/>
          <w:szCs w:val="20"/>
        </w:rPr>
        <w:t>3.00</w:t>
      </w:r>
      <w:r>
        <w:rPr>
          <w:sz w:val="20"/>
          <w:szCs w:val="20"/>
        </w:rPr>
        <w:t xml:space="preserve"> </w:t>
      </w:r>
      <w:r>
        <w:rPr>
          <w:i/>
          <w:iCs/>
          <w:sz w:val="20"/>
          <w:szCs w:val="20"/>
        </w:rPr>
        <w:t>AMA PRA Category 1 CME Credit(s)</w:t>
      </w:r>
      <w:r>
        <w:rPr>
          <w:rFonts w:ascii="Cambria" w:hAnsi="Cambria"/>
          <w:sz w:val="20"/>
          <w:szCs w:val="20"/>
        </w:rPr>
        <w:t>™)</w:t>
      </w:r>
    </w:p>
    <w:p w:rsidR="00443EE9" w:rsidP="00EA24D0">
      <w:pPr>
        <w:rPr>
          <w:rFonts w:ascii="Cambria" w:hAnsi="Cambria"/>
          <w:sz w:val="20"/>
          <w:szCs w:val="20"/>
        </w:rPr>
      </w:pPr>
    </w:p>
    <w:p w:rsidR="00443EE9" w:rsidRPr="00443EE9" w:rsidP="00443EE9">
      <w:pPr>
        <w:rPr>
          <w:sz w:val="20"/>
          <w:szCs w:val="20"/>
        </w:rPr>
      </w:pPr>
      <w:r w:rsidRPr="00443EE9">
        <w:rPr>
          <w:sz w:val="20"/>
          <w:szCs w:val="20"/>
        </w:rPr>
        <w:t xml:space="preserve">The Nationwide Children's Hospital designates this </w:t>
      </w:r>
      <w:r>
        <w:rPr>
          <w:sz w:val="20"/>
          <w:szCs w:val="20"/>
        </w:rPr>
        <w:t>live activity</w:t>
      </w:r>
      <w:r>
        <w:rPr>
          <w:sz w:val="20"/>
          <w:szCs w:val="20"/>
        </w:rPr>
        <w:t xml:space="preserve"> </w:t>
      </w:r>
      <w:r w:rsidRPr="00443EE9">
        <w:rPr>
          <w:sz w:val="20"/>
          <w:szCs w:val="20"/>
        </w:rPr>
        <w:t xml:space="preserve">for a maximum of </w:t>
      </w:r>
      <w:r>
        <w:rPr>
          <w:sz w:val="20"/>
          <w:szCs w:val="20"/>
        </w:rPr>
        <w:t>3.00</w:t>
      </w:r>
      <w:r w:rsidRPr="00443EE9">
        <w:rPr>
          <w:sz w:val="20"/>
          <w:szCs w:val="20"/>
        </w:rPr>
        <w:t xml:space="preserve"> </w:t>
      </w:r>
      <w:r w:rsidRPr="00443EE9">
        <w:rPr>
          <w:i/>
          <w:iCs/>
          <w:sz w:val="20"/>
          <w:szCs w:val="20"/>
        </w:rPr>
        <w:t>AMA PRA Category 1 Credit(s)</w:t>
      </w:r>
      <w:r w:rsidRPr="00443EE9">
        <w:rPr>
          <w:sz w:val="20"/>
          <w:szCs w:val="20"/>
          <w:vertAlign w:val="superscript"/>
        </w:rPr>
        <w:t>TM</w:t>
      </w:r>
      <w:r w:rsidRPr="00443EE9">
        <w:rPr>
          <w:sz w:val="20"/>
          <w:szCs w:val="20"/>
        </w:rPr>
        <w:t>.</w:t>
      </w:r>
      <w:r>
        <w:rPr>
          <w:sz w:val="20"/>
          <w:szCs w:val="20"/>
        </w:rPr>
        <w:t xml:space="preserve"> </w:t>
      </w:r>
      <w:r w:rsidRPr="00443EE9">
        <w:rPr>
          <w:sz w:val="20"/>
          <w:szCs w:val="20"/>
        </w:rPr>
        <w:t>Physicians should claim only the credit commensurate with the extent of their participation in the activity.</w:t>
      </w:r>
    </w:p>
    <w:p w:rsidP="00EA24D0">
      <w:pPr>
        <w:rPr>
          <w:sz w:val="20"/>
          <w:szCs w:val="20"/>
        </w:rPr>
      </w:pPr>
      <w:r>
        <w:rPr>
          <w:sz w:val="20"/>
          <w:szCs w:val="20"/>
        </w:rPr>
        <w:fldChar w:fldCharType="end"/>
      </w:r>
      <w:r w:rsidRPr="00207F0D" w:rsidR="00EA24D0">
        <w:rPr>
          <w:noProof/>
          <w:sz w:val="20"/>
        </w:rPr>
        <w:fldChar w:fldCharType="begin"/>
      </w:r>
      <w:r w:rsidRPr="00207F0D" w:rsidR="00EA24D0">
        <w:rPr>
          <w:noProof/>
          <w:sz w:val="20"/>
        </w:rPr>
        <w:instrText xml:space="preserve"> IF </w:instrText>
      </w:r>
      <w:r w:rsidRPr="00207F0D" w:rsidR="00EA24D0">
        <w:rPr>
          <w:noProof/>
          <w:sz w:val="20"/>
        </w:rPr>
        <w:instrText>0.00</w:instrText>
      </w:r>
      <w:r w:rsidRPr="00207F0D" w:rsidR="00EA24D0">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0.00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«AAPAHOURSMax»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instrText>3.00</w:instrText>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62576375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207F0D">
        <w:rPr>
          <w:rFonts w:asciiTheme="minorHAnsi" w:hAnsiTheme="minorHAnsi"/>
          <w:sz w:val="20"/>
          <w:szCs w:val="20"/>
        </w:rPr>
        <w:t>3.00</w:t>
      </w:r>
      <w:r w:rsidRPr="00207F0D">
        <w:rPr>
          <w:rFonts w:asciiTheme="minorHAnsi" w:hAnsiTheme="minorHAnsi"/>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1758290586"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t>Continuing Education (CE) credits for psychologists are provided through the co-sponsorship of the American Psychological Association (APA) Office of Continuing Education in Psychology (CEP). The APA CEP Office maintains responsibility for the content of the programs.</w:t>
      </w:r>
      <w:r w:rsidRPr="00207F0D">
        <w:rPr>
          <w:rFonts w:asciiTheme="minorHAnsi" w:hAnsiTheme="minorHAnsi"/>
        </w:rPr>
        <w:t xml:space="preserve"> </w:t>
      </w:r>
      <w:r w:rsidRPr="00207F0D">
        <w:rPr>
          <w:rFonts w:asciiTheme="minorHAnsi" w:hAnsiTheme="minorHAnsi"/>
          <w:noProof/>
          <w:sz w:val="20"/>
          <w:szCs w:val="20"/>
        </w:rPr>
        <w:t xml:space="preserve">Nationwide Children's Hospital designates this activity for </w:t>
      </w:r>
      <w:r w:rsidRPr="00207F0D">
        <w:rPr>
          <w:rFonts w:asciiTheme="minorHAnsi" w:hAnsiTheme="minorHAnsi"/>
          <w:noProof/>
          <w:sz w:val="20"/>
          <w:szCs w:val="20"/>
        </w:rPr>
        <w:t>3.00</w:t>
      </w:r>
      <w:r w:rsidRPr="00207F0D">
        <w:rPr>
          <w:rFonts w:asciiTheme="minorHAnsi" w:hAnsiTheme="minorHAnsi"/>
          <w:noProof/>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