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BH Education</w:t>
      </w:r>
      <w:r>
        <w:rPr>
          <w:rFonts w:ascii="Garamond" w:hAnsi="Garamond"/>
          <w:bCs/>
        </w:rPr>
        <w:t>: An Introduction to Motivational Interviewing</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February 1,</w:t>
      </w:r>
      <w:r>
        <w:rPr>
          <w:rFonts w:ascii="Garamond" w:hAnsi="Garamond"/>
          <w:bCs/>
        </w:rPr>
        <w:t xml:space="preserve"> 2022 - 9:30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Allison  Depoy</w:t>
      </w:r>
      <w:r w:rsidRPr="003A5A15">
        <w:rPr>
          <w:rFonts w:ascii="Garamond" w:hAnsi="Garamond"/>
          <w:sz w:val="22"/>
          <w:szCs w:val="22"/>
        </w:rPr>
        <w:t>, LISW-S</w:t>
      </w:r>
    </w:p>
    <w:p w:rsidRPr="003A5A15" w:rsidP="00736C76">
      <w:pPr>
        <w:ind w:left="360"/>
        <w:rPr>
          <w:rFonts w:ascii="Garamond" w:hAnsi="Garamond"/>
          <w:sz w:val="22"/>
          <w:szCs w:val="22"/>
        </w:rPr>
      </w:pPr>
      <w:r w:rsidRPr="003A5A15">
        <w:rPr>
          <w:rFonts w:ascii="Garamond" w:hAnsi="Garamond"/>
          <w:sz w:val="22"/>
          <w:szCs w:val="22"/>
        </w:rPr>
        <w:t>Kathleen T Roush, MSW, LISW-S</w:t>
      </w: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Allison Depoy</w:t>
      </w:r>
      <w:r w:rsidRPr="009A4B51">
        <w:rPr>
          <w:rFonts w:ascii="Garamond" w:hAnsi="Garamond"/>
          <w:sz w:val="22"/>
          <w:szCs w:val="22"/>
        </w:rPr>
        <w:t xml:space="preserve">, LISW-S (Other Planning Committee Member) </w:t>
      </w:r>
    </w:p>
    <w:p w:rsidRPr="009A4B51" w:rsidP="00736C76">
      <w:pPr>
        <w:ind w:left="360"/>
        <w:rPr>
          <w:rFonts w:ascii="Garamond" w:hAnsi="Garamond"/>
          <w:sz w:val="22"/>
          <w:szCs w:val="22"/>
        </w:rPr>
      </w:pPr>
      <w:r w:rsidRPr="009A4B51">
        <w:rPr>
          <w:rFonts w:ascii="Garamond" w:hAnsi="Garamond"/>
          <w:sz w:val="22"/>
          <w:szCs w:val="22"/>
        </w:rPr>
        <w:t xml:space="preserve">Amy Hahn, Psychologist (Other Planning Committee Member) </w:t>
      </w:r>
    </w:p>
    <w:p w:rsidRPr="009A4B51" w:rsidP="00736C76">
      <w:pPr>
        <w:ind w:left="360"/>
        <w:rPr>
          <w:rFonts w:ascii="Garamond" w:hAnsi="Garamond"/>
          <w:sz w:val="22"/>
          <w:szCs w:val="22"/>
        </w:rPr>
      </w:pPr>
      <w:r w:rsidRPr="009A4B51">
        <w:rPr>
          <w:rFonts w:ascii="Garamond" w:hAnsi="Garamond"/>
          <w:sz w:val="22"/>
          <w:szCs w:val="22"/>
        </w:rPr>
        <w:t xml:space="preserve">Susan Orme, MSN (Nurse Planner) </w:t>
      </w:r>
    </w:p>
    <w:p w:rsidRPr="009A4B51" w:rsidP="00736C76">
      <w:pPr>
        <w:ind w:left="360"/>
        <w:rPr>
          <w:rFonts w:ascii="Garamond" w:hAnsi="Garamond"/>
          <w:sz w:val="22"/>
          <w:szCs w:val="22"/>
        </w:rPr>
      </w:pPr>
      <w:r w:rsidRPr="009A4B51">
        <w:rPr>
          <w:rFonts w:ascii="Garamond" w:hAnsi="Garamond"/>
          <w:sz w:val="22"/>
          <w:szCs w:val="22"/>
        </w:rPr>
        <w:t xml:space="preserve">Natalie Powell, LPCC-S (Other Planning Committee Member) </w:t>
      </w:r>
    </w:p>
    <w:p w:rsidRPr="009A4B51" w:rsidP="00736C76">
      <w:pPr>
        <w:ind w:left="360"/>
        <w:rPr>
          <w:rFonts w:ascii="Garamond" w:hAnsi="Garamond"/>
          <w:sz w:val="22"/>
          <w:szCs w:val="22"/>
        </w:rPr>
      </w:pPr>
      <w:r w:rsidRPr="009A4B51">
        <w:rPr>
          <w:rFonts w:ascii="Garamond" w:hAnsi="Garamond"/>
          <w:sz w:val="22"/>
          <w:szCs w:val="22"/>
        </w:rPr>
        <w:t xml:space="preserve">Kathleen Roush, MSW, LISW-S (Other Planning Committee Member) </w:t>
      </w: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Define</w:t>
      </w:r>
      <w:r w:rsidRPr="003A5A15">
        <w:rPr>
          <w:rFonts w:ascii="Garamond" w:hAnsi="Garamond"/>
          <w:bCs/>
          <w:sz w:val="22"/>
          <w:szCs w:val="22"/>
        </w:rPr>
        <w:t xml:space="preserve"> how Motivational Interviewing spirit benefits the collaborative relationship between helping professionals and clients/patients.</w:t>
      </w:r>
    </w:p>
    <w:p w:rsidRPr="003A5A15" w:rsidP="00A83DCA">
      <w:pPr>
        <w:ind w:left="540" w:hanging="180"/>
        <w:rPr>
          <w:rFonts w:ascii="Garamond" w:hAnsi="Garamond"/>
          <w:bCs/>
          <w:sz w:val="22"/>
          <w:szCs w:val="22"/>
        </w:rPr>
      </w:pPr>
      <w:r w:rsidRPr="003A5A15">
        <w:rPr>
          <w:rFonts w:ascii="Garamond" w:hAnsi="Garamond"/>
          <w:bCs/>
          <w:sz w:val="22"/>
          <w:szCs w:val="22"/>
        </w:rPr>
        <w:t>2 Translate how core MI skills can be used in varied areas of practice.</w:t>
      </w:r>
    </w:p>
    <w:p w:rsidRPr="003A5A15" w:rsidP="00A83DCA">
      <w:pPr>
        <w:ind w:left="540" w:hanging="180"/>
        <w:rPr>
          <w:rFonts w:ascii="Garamond" w:hAnsi="Garamond"/>
          <w:bCs/>
          <w:sz w:val="22"/>
          <w:szCs w:val="22"/>
        </w:rPr>
      </w:pPr>
      <w:r w:rsidRPr="003A5A15">
        <w:rPr>
          <w:rFonts w:ascii="Garamond" w:hAnsi="Garamond"/>
          <w:bCs/>
          <w:sz w:val="22"/>
          <w:szCs w:val="22"/>
        </w:rPr>
        <w:t>3 Practice utilizing spirit and skills in a controlled setting.</w:t>
      </w:r>
    </w:p>
    <w:p w:rsidR="006A4A00" w:rsidRPr="003A5A15" w:rsidP="00A83DCA">
      <w:pPr>
        <w:ind w:left="540" w:hanging="180"/>
        <w:rPr>
          <w:rFonts w:ascii="Garamond" w:hAnsi="Garamond"/>
          <w:bCs/>
          <w:sz w:val="22"/>
          <w:szCs w:val="22"/>
        </w:rPr>
      </w:pPr>
      <w:r w:rsidRPr="003A5A15">
        <w:rPr>
          <w:rFonts w:ascii="Garamond" w:hAnsi="Garamond"/>
          <w:bCs/>
          <w:sz w:val="22"/>
          <w:szCs w:val="22"/>
        </w:rPr>
        <w:t>4 Increase practical ways of guiding patients/clients in making positive healthcare changes.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3.00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3.00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3.00</w:instrText>
      </w:r>
      <w:r w:rsidRPr="004655DC" w:rsidR="004623EE">
        <w:rPr>
          <w:sz w:val="16"/>
          <w:szCs w:val="16"/>
        </w:rPr>
        <w:instrText xml:space="preserve"> &gt; 0 "</w:instrText>
      </w:r>
      <w:r w:rsidRPr="004655DC" w:rsidR="004623EE">
        <w:rPr>
          <w:noProof/>
          <w:sz w:val="16"/>
          <w:szCs w:val="16"/>
        </w:rPr>
        <w:instrText>3.0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3.0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3.00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3.00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3.0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3.0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3.0 ANCC contact hours</w:t>
      </w:r>
      <w:r w:rsidRPr="004655DC" w:rsidR="00CF3DA5">
        <w:rPr>
          <w:noProof/>
          <w:sz w:val="16"/>
          <w:szCs w:val="16"/>
        </w:rPr>
        <w:t>; 3.0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3.00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3.0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3.0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