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Using Unified Protocols for Treating Adolescents with Emotional Disorders (#19138)</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Using Unified Protocols for Treating Adolescents with Emotional Disorders (#19138)</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July 8,</w:t>
      </w:r>
      <w:r>
        <w:rPr>
          <w:rFonts w:ascii="Garamond" w:hAnsi="Garamond"/>
          <w:bCs/>
        </w:rPr>
        <w:t xml:space="preserve"> 2022 - 8:30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Alana G Leever,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Leever,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Apply Unified Protocols with a client </w:instrText>
      </w:r>
    </w:p>
    <w:p w:rsidR="004777F1">
      <w:pPr>
        <w:bidi w:val="0"/>
        <w:spacing w:after="280" w:afterAutospacing="1"/>
        <w:rPr>
          <w:rFonts w:ascii="Garamond" w:hAnsi="Garamond"/>
          <w:sz w:val="22"/>
          <w:szCs w:val="22"/>
        </w:rPr>
      </w:pPr>
      <w:r>
        <w:rPr>
          <w:rFonts w:ascii="Garamond" w:hAnsi="Garamond"/>
          <w:sz w:val="22"/>
          <w:szCs w:val="22"/>
        </w:rPr>
        <w:instrText>2 Understand the theoretical model behind transdiagnostic interventions</w:instrText>
      </w:r>
    </w:p>
    <w:p w:rsidR="004777F1">
      <w:pPr>
        <w:bidi w:val="0"/>
        <w:spacing w:after="280" w:afterAutospacing="1"/>
        <w:rPr>
          <w:rFonts w:ascii="Garamond" w:hAnsi="Garamond"/>
          <w:sz w:val="22"/>
          <w:szCs w:val="22"/>
        </w:rPr>
      </w:pPr>
      <w:r>
        <w:rPr>
          <w:rFonts w:ascii="Garamond" w:hAnsi="Garamond"/>
          <w:sz w:val="22"/>
          <w:szCs w:val="22"/>
        </w:rPr>
        <w:instrText>3 Consider the diverse backgrounds and needs of their clients and flexibly utilize the UP model to provide care</w:instrText>
      </w:r>
    </w:p>
    <w:p w:rsidR="004777F1">
      <w:pPr>
        <w:bidi w:val="0"/>
        <w:spacing w:after="280" w:afterAutospacing="1"/>
        <w:rPr>
          <w:rFonts w:ascii="Garamond" w:hAnsi="Garamond"/>
          <w:sz w:val="22"/>
          <w:szCs w:val="22"/>
        </w:rPr>
      </w:pPr>
      <w:r>
        <w:rPr>
          <w:rFonts w:ascii="Garamond" w:hAnsi="Garamond"/>
          <w:sz w:val="22"/>
          <w:szCs w:val="22"/>
        </w:rPr>
        <w:instrText>4 Increasingly utilize exposure in the treatment of adolescents with emotional disorders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Apply Unified Protocols with a client </w:instrText>
      </w:r>
    </w:p>
    <w:p w:rsidP="004777F1">
      <w:pPr>
        <w:ind w:left="540" w:hanging="180"/>
        <w:rPr>
          <w:rFonts w:ascii="Garamond" w:hAnsi="Garamond"/>
          <w:sz w:val="22"/>
          <w:szCs w:val="22"/>
        </w:rPr>
      </w:pPr>
      <w:r>
        <w:rPr>
          <w:rFonts w:ascii="Garamond" w:hAnsi="Garamond"/>
          <w:sz w:val="22"/>
          <w:szCs w:val="22"/>
        </w:rPr>
        <w:instrText>2 Understand the theoretical model behind transdiagnostic interventions</w:instrText>
      </w:r>
    </w:p>
    <w:p w:rsidP="004777F1">
      <w:pPr>
        <w:ind w:left="540" w:hanging="180"/>
        <w:rPr>
          <w:rFonts w:ascii="Garamond" w:hAnsi="Garamond"/>
          <w:sz w:val="22"/>
          <w:szCs w:val="22"/>
        </w:rPr>
      </w:pPr>
      <w:r>
        <w:rPr>
          <w:rFonts w:ascii="Garamond" w:hAnsi="Garamond"/>
          <w:sz w:val="22"/>
          <w:szCs w:val="22"/>
        </w:rPr>
        <w:instrText>3 Consider the diverse backgrounds and needs of their clients and flexibly utilize the UP model to provide care</w:instrText>
      </w:r>
    </w:p>
    <w:p w:rsidP="004777F1">
      <w:pPr>
        <w:ind w:left="540" w:hanging="180"/>
        <w:rPr>
          <w:rFonts w:ascii="Garamond" w:hAnsi="Garamond"/>
          <w:sz w:val="22"/>
          <w:szCs w:val="22"/>
        </w:rPr>
      </w:pPr>
      <w:r>
        <w:rPr>
          <w:rFonts w:ascii="Garamond" w:hAnsi="Garamond"/>
          <w:sz w:val="22"/>
          <w:szCs w:val="22"/>
        </w:rPr>
        <w:instrText>4 Increasingly utilize exposure in the treatment of adolescents with emotional disorders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Apply Unified Protocols with a client </w:t>
      </w:r>
    </w:p>
    <w:p w:rsidP="004777F1">
      <w:pPr>
        <w:ind w:left="540" w:hanging="180"/>
        <w:rPr>
          <w:rFonts w:ascii="Garamond" w:hAnsi="Garamond"/>
          <w:sz w:val="22"/>
          <w:szCs w:val="22"/>
        </w:rPr>
      </w:pPr>
      <w:r>
        <w:rPr>
          <w:rFonts w:ascii="Garamond" w:hAnsi="Garamond"/>
          <w:sz w:val="22"/>
          <w:szCs w:val="22"/>
        </w:rPr>
        <w:t>2 Understand the theoretical model behind transdiagnostic interventions</w:t>
      </w:r>
    </w:p>
    <w:p w:rsidP="004777F1">
      <w:pPr>
        <w:ind w:left="540" w:hanging="180"/>
        <w:rPr>
          <w:rFonts w:ascii="Garamond" w:hAnsi="Garamond"/>
          <w:sz w:val="22"/>
          <w:szCs w:val="22"/>
        </w:rPr>
      </w:pPr>
      <w:r>
        <w:rPr>
          <w:rFonts w:ascii="Garamond" w:hAnsi="Garamond"/>
          <w:sz w:val="22"/>
          <w:szCs w:val="22"/>
        </w:rPr>
        <w:t>3 Consider the diverse backgrounds and needs of their clients and flexibly utilize the UP model to provide care</w:t>
      </w:r>
    </w:p>
    <w:p w:rsidR="004777F1" w:rsidP="004777F1">
      <w:pPr>
        <w:ind w:left="540" w:hanging="180"/>
        <w:rPr>
          <w:rFonts w:ascii="Garamond" w:hAnsi="Garamond"/>
          <w:sz w:val="22"/>
          <w:szCs w:val="22"/>
        </w:rPr>
      </w:pPr>
      <w:r>
        <w:rPr>
          <w:rFonts w:ascii="Garamond" w:hAnsi="Garamond"/>
          <w:sz w:val="22"/>
          <w:szCs w:val="22"/>
        </w:rPr>
        <w:t>4 Increasingly utilize exposure in the treatment of adolescents with emotional disorders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7.00</w:instrText>
      </w:r>
      <w:r>
        <w:rPr>
          <w:sz w:val="20"/>
          <w:szCs w:val="20"/>
        </w:rPr>
        <w:instrText xml:space="preserve"> &gt; 0 "(</w:instrText>
      </w:r>
      <w:r>
        <w:rPr>
          <w:sz w:val="20"/>
          <w:szCs w:val="20"/>
        </w:rPr>
        <w:instrText>7.00</w:instrText>
      </w:r>
      <w:r>
        <w:rPr>
          <w:sz w:val="20"/>
          <w:szCs w:val="20"/>
        </w:rPr>
        <w:instrText xml:space="preserve"> ANCC contact hour(s)) " "" </w:instrText>
      </w:r>
      <w:r>
        <w:rPr>
          <w:sz w:val="20"/>
          <w:szCs w:val="20"/>
        </w:rPr>
        <w:fldChar w:fldCharType="separate"/>
      </w:r>
      <w:r>
        <w:rPr>
          <w:sz w:val="20"/>
          <w:szCs w:val="20"/>
        </w:rPr>
        <w:t>(</w:t>
      </w:r>
      <w:r>
        <w:rPr>
          <w:sz w:val="20"/>
          <w:szCs w:val="20"/>
        </w:rPr>
        <w:t>7.00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7.00</w:instrText>
      </w:r>
      <w:r>
        <w:rPr>
          <w:sz w:val="20"/>
          <w:szCs w:val="20"/>
        </w:rPr>
        <w:instrText xml:space="preserve"> &gt; 0 "(</w:instrText>
      </w:r>
      <w:r>
        <w:rPr>
          <w:sz w:val="20"/>
          <w:szCs w:val="20"/>
        </w:rPr>
        <w:instrText>7.00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7.00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7.00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7.00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7.00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41405383"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7.00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82576156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7.00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