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2022 Neonatal/Perinatal Conference</w:instrText>
      </w:r>
      <w:r>
        <w:rPr>
          <w:rFonts w:ascii="Garamond" w:hAnsi="Garamond"/>
          <w:bCs/>
        </w:rPr>
        <w:instrText xml:space="preserve">" </w:instrText>
      </w:r>
      <w:r>
        <w:rPr>
          <w:rFonts w:ascii="Garamond" w:hAnsi="Garamond"/>
          <w:bCs/>
        </w:rPr>
        <w:fldChar w:fldCharType="separate"/>
      </w:r>
      <w:r>
        <w:rPr>
          <w:rFonts w:ascii="Garamond" w:hAnsi="Garamond"/>
          <w:bCs/>
        </w:rPr>
        <w:t>2022 Neonatal/Perinatal Conference</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May 17,</w:t>
      </w:r>
      <w:r>
        <w:rPr>
          <w:rFonts w:ascii="Garamond" w:hAnsi="Garamond"/>
          <w:bCs/>
        </w:rPr>
        <w:t xml:space="preserve"> 2022 - 7:30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Gail Bagwell , DNP, APRN, CNS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Phelps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Baughcum,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Elizabeth A Rodgers, MSN, RNC-NIC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Hofherr, MS, OTR/L, NIDCAP Trainer, CNT, NTMTC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Jacqueline Magers, Pharmacist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Christine A Willoughby, MSN,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Judith Hanlon, MS,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Jessica Niski, PT, DPT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Leeann Pavlek,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BACKES,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Laura Marzec, IMG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Diefenbach,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Holloway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 Kielt,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Shannon L Gillespie ,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Cecilie Halling,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Bimal Chaudhari,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Honoraria-Connected Research (Relationship has ended)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Tahagod Mohamed,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Erin Keels, DNP, APRN 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Gossard, MSN, CNS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Jackson,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Maged M Costantine,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Fee-Obseva, Momenta, Progenity (Relationship has ended)|Grant or research support-Baxter, Amag - 12/21/2021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Colleen Miller,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Bianca Zapanta,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Leslie Coonfare, DNP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Non-Clinical Exception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Conroy,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Courtney Cooke,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Non-Clinical Exception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Klein,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Katlyn McGratten,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Narvey, MD, FRCPC,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Advisor-Radiometer (Relationship has ended) - 12/21/2021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Kelli D Kelley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Anderson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Annie Janvier,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Media Esser,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Brodbeck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Heidi Cohen,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N Stine, MD, Medical Director of Doctors Hospital/Neonatologist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Bureau-Abbott Nutrition (Relationship has ended) - 05/13/2022</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 xml:space="preserve">1 Utilize the science and tools of quality improvement to improve patient outcomes. </w:instrText>
      </w:r>
    </w:p>
    <w:p w:rsidR="004777F1">
      <w:pPr>
        <w:bidi w:val="0"/>
        <w:spacing w:after="280" w:afterAutospacing="1"/>
        <w:rPr>
          <w:rFonts w:ascii="Garamond" w:hAnsi="Garamond"/>
          <w:sz w:val="22"/>
          <w:szCs w:val="22"/>
        </w:rPr>
      </w:pPr>
      <w:r>
        <w:rPr>
          <w:rFonts w:ascii="Garamond" w:hAnsi="Garamond"/>
          <w:sz w:val="22"/>
          <w:szCs w:val="22"/>
        </w:rPr>
        <w:instrText>2 Implement the latest, evidence-based treatment options in perinatal and neonatal patients to improve the quality of care.</w:instrText>
      </w:r>
    </w:p>
    <w:p w:rsidR="004777F1">
      <w:pPr>
        <w:bidi w:val="0"/>
        <w:spacing w:after="280" w:afterAutospacing="1"/>
        <w:rPr>
          <w:rFonts w:ascii="Garamond" w:hAnsi="Garamond"/>
          <w:sz w:val="22"/>
          <w:szCs w:val="22"/>
        </w:rPr>
      </w:pPr>
      <w:r>
        <w:rPr>
          <w:rFonts w:ascii="Garamond" w:hAnsi="Garamond"/>
          <w:sz w:val="22"/>
          <w:szCs w:val="22"/>
        </w:rPr>
        <w:instrText>3 Incorporate the most up to date, relevant patient education and self-management guidelines into practice so that patients and families can utilize before, during and after discharge in order to successfully transition care back into the home.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 xml:space="preserve">1 Utilize the science and tools of quality improvement to improve patient outcomes. </w:instrText>
      </w:r>
    </w:p>
    <w:p w:rsidP="004777F1">
      <w:pPr>
        <w:ind w:left="540" w:hanging="180"/>
        <w:rPr>
          <w:rFonts w:ascii="Garamond" w:hAnsi="Garamond"/>
          <w:sz w:val="22"/>
          <w:szCs w:val="22"/>
        </w:rPr>
      </w:pPr>
      <w:r>
        <w:rPr>
          <w:rFonts w:ascii="Garamond" w:hAnsi="Garamond"/>
          <w:sz w:val="22"/>
          <w:szCs w:val="22"/>
        </w:rPr>
        <w:instrText>2 Implement the latest, evidence-based treatment options in perinatal and neonatal patients to improve the quality of care.</w:instrText>
      </w:r>
    </w:p>
    <w:p w:rsidP="004777F1">
      <w:pPr>
        <w:ind w:left="540" w:hanging="180"/>
        <w:rPr>
          <w:rFonts w:ascii="Garamond" w:hAnsi="Garamond"/>
          <w:sz w:val="22"/>
          <w:szCs w:val="22"/>
        </w:rPr>
      </w:pPr>
      <w:r>
        <w:rPr>
          <w:rFonts w:ascii="Garamond" w:hAnsi="Garamond"/>
          <w:sz w:val="22"/>
          <w:szCs w:val="22"/>
        </w:rPr>
        <w:instrText>3 Incorporate the most up to date, relevant patient education and self-management guidelines into practice so that patients and families can utilize before, during and after discharge in order to successfully transition care back into the home.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 xml:space="preserve">1 Utilize the science and tools of quality improvement to improve patient outcomes. </w:t>
      </w:r>
    </w:p>
    <w:p w:rsidP="004777F1">
      <w:pPr>
        <w:ind w:left="540" w:hanging="180"/>
        <w:rPr>
          <w:rFonts w:ascii="Garamond" w:hAnsi="Garamond"/>
          <w:sz w:val="22"/>
          <w:szCs w:val="22"/>
        </w:rPr>
      </w:pPr>
      <w:r>
        <w:rPr>
          <w:rFonts w:ascii="Garamond" w:hAnsi="Garamond"/>
          <w:sz w:val="22"/>
          <w:szCs w:val="22"/>
        </w:rPr>
        <w:t>2 Implement the latest, evidence-based treatment options in perinatal and neonatal patients to improve the quality of care.</w:t>
      </w:r>
    </w:p>
    <w:p w:rsidR="004777F1" w:rsidP="004777F1">
      <w:pPr>
        <w:ind w:left="540" w:hanging="180"/>
        <w:rPr>
          <w:rFonts w:ascii="Garamond" w:hAnsi="Garamond"/>
          <w:sz w:val="22"/>
          <w:szCs w:val="22"/>
        </w:rPr>
      </w:pPr>
      <w:r>
        <w:rPr>
          <w:rFonts w:ascii="Garamond" w:hAnsi="Garamond"/>
          <w:sz w:val="22"/>
          <w:szCs w:val="22"/>
        </w:rPr>
        <w:t>3 Incorporate the most up to date, relevant patient education and self-management guidelines into practice so that patients and families can utilize before, during and after discharge in order to successfully transition care back into the home.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18.75</w:instrText>
      </w:r>
      <w:r>
        <w:rPr>
          <w:sz w:val="20"/>
          <w:szCs w:val="20"/>
        </w:rPr>
        <w:instrText xml:space="preserve"> &gt; 0 "(</w:instrText>
      </w:r>
      <w:r>
        <w:rPr>
          <w:sz w:val="20"/>
          <w:szCs w:val="20"/>
        </w:rPr>
        <w:instrText>18.75</w:instrText>
      </w:r>
      <w:r>
        <w:rPr>
          <w:sz w:val="20"/>
          <w:szCs w:val="20"/>
        </w:rPr>
        <w:instrText xml:space="preserve"> ANCC contact hour(s)) " "" </w:instrText>
      </w:r>
      <w:r>
        <w:rPr>
          <w:sz w:val="20"/>
          <w:szCs w:val="20"/>
        </w:rPr>
        <w:fldChar w:fldCharType="separate"/>
      </w:r>
      <w:r>
        <w:rPr>
          <w:sz w:val="20"/>
          <w:szCs w:val="20"/>
        </w:rPr>
        <w:t>(</w:t>
      </w:r>
      <w:r>
        <w:rPr>
          <w:sz w:val="20"/>
          <w:szCs w:val="20"/>
        </w:rPr>
        <w:t>18.75</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18.75</w:instrText>
      </w:r>
      <w:r>
        <w:rPr>
          <w:sz w:val="20"/>
          <w:szCs w:val="20"/>
        </w:rPr>
        <w:instrText xml:space="preserve"> &gt; 0 "(</w:instrText>
      </w:r>
      <w:r>
        <w:rPr>
          <w:sz w:val="20"/>
          <w:szCs w:val="20"/>
        </w:rPr>
        <w:instrText>18.75</w:instrText>
      </w:r>
      <w:r>
        <w:rPr>
          <w:sz w:val="20"/>
          <w:szCs w:val="20"/>
        </w:rPr>
        <w:instrText xml:space="preserve"> ACPE contact hour(s)) " "" </w:instrText>
      </w:r>
      <w:r>
        <w:rPr>
          <w:sz w:val="20"/>
          <w:szCs w:val="20"/>
        </w:rPr>
        <w:fldChar w:fldCharType="separate"/>
      </w:r>
      <w:r>
        <w:rPr>
          <w:sz w:val="20"/>
          <w:szCs w:val="20"/>
        </w:rPr>
        <w:t>(</w:t>
      </w:r>
      <w:r>
        <w:rPr>
          <w:sz w:val="20"/>
          <w:szCs w:val="20"/>
        </w:rPr>
        <w:t>18.75</w:t>
      </w:r>
      <w:r>
        <w:rPr>
          <w:sz w:val="20"/>
          <w:szCs w:val="20"/>
        </w:rPr>
        <w:t xml:space="preserve"> ACPE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18.75</w:instrText>
      </w:r>
      <w:r>
        <w:rPr>
          <w:sz w:val="20"/>
          <w:szCs w:val="20"/>
        </w:rPr>
        <w:instrText xml:space="preserve"> &gt; 0 "(</w:instrText>
      </w:r>
      <w:r>
        <w:rPr>
          <w:sz w:val="20"/>
          <w:szCs w:val="20"/>
        </w:rPr>
        <w:instrText>18.75</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18.75</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18.75</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18.75</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18.75</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instrText>18.75</w:instrText>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60288"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1135253449"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t xml:space="preserve">This activity was planned by and for the healthcare team, and learners will receive </w:t>
      </w:r>
      <w:r w:rsidRPr="00207F0D">
        <w:rPr>
          <w:noProof/>
          <w:sz w:val="20"/>
        </w:rPr>
        <w:t>18.75</w:t>
      </w:r>
      <w:r w:rsidRPr="00207F0D">
        <w:rPr>
          <w:noProof/>
          <w:sz w:val="20"/>
        </w:rPr>
        <w:t xml:space="preserve"> Interprofessional Continuing Education (IPCE) credit(s) for learning and change.</w:t>
      </w:r>
    </w:p>
    <w:p w:rsidR="009F7D61" w:rsidP="00EA24D0">
      <w:pPr>
        <w:rPr>
          <w:noProof/>
          <w:sz w:val="20"/>
        </w:rPr>
      </w:pPr>
    </w:p>
    <w:p w:rsidRPr="00207F0D" w:rsidP="00EA24D0">
      <w:pPr>
        <w:rPr>
          <w:noProof/>
          <w:sz w:val="20"/>
        </w:rPr>
      </w:pP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18.75</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18.75</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88359993"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18.75</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