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 Name</w:t>
      </w:r>
      <w:r w:rsidRPr="00DE0ABE">
        <w:rPr>
          <w:rFonts w:ascii="Garamond" w:hAnsi="Garamond"/>
          <w:b/>
          <w:bCs/>
        </w:rPr>
        <w:t>:</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noProof/>
        </w:rPr>
        <w:t>2021 Pediatric</w:t>
      </w:r>
      <w:r>
        <w:rPr>
          <w:rFonts w:ascii="Garamond" w:hAnsi="Garamond"/>
          <w:bCs/>
        </w:rPr>
        <w:t xml:space="preserve"> Update</w:t>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CD3837">
        <w:rPr>
          <w:rFonts w:ascii="Garamond" w:hAnsi="Garamond"/>
          <w:b/>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CD3837">
        <w:rPr>
          <w:rFonts w:ascii="Garamond" w:hAnsi="Garamond"/>
          <w:bCs/>
          <w:noProof/>
        </w:rPr>
        <w:t>November 6,</w:t>
      </w:r>
      <w:r>
        <w:rPr>
          <w:rFonts w:ascii="Garamond" w:hAnsi="Garamond"/>
          <w:bCs/>
        </w:rPr>
        <w:t xml:space="preserve"> 2021 - 8:00 AM</w:t>
      </w:r>
    </w:p>
    <w:p w:rsidR="000C309B" w:rsidRPr="00DE0ABE">
      <w:pPr>
        <w:rPr>
          <w:rFonts w:ascii="Garamond" w:hAnsi="Garamond"/>
        </w:rPr>
      </w:pPr>
    </w:p>
    <w:p w:rsidR="00ED51A8" w:rsidP="00ED51A8">
      <w:pPr>
        <w:rPr>
          <w:rFonts w:ascii="Garamond" w:hAnsi="Garamond"/>
        </w:rPr>
      </w:pPr>
      <w:r w:rsidRPr="00DE0ABE">
        <w:rPr>
          <w:rFonts w:ascii="Garamond" w:hAnsi="Garamond"/>
          <w:b/>
        </w:rPr>
        <w:t>Speakers</w:t>
      </w:r>
      <w:r w:rsidR="00DC47BB">
        <w:rPr>
          <w:rFonts w:ascii="Garamond" w:hAnsi="Garamond"/>
          <w:b/>
        </w:rPr>
        <w:t xml:space="preserve"> Information</w:t>
      </w:r>
      <w:r w:rsidRPr="00DE0ABE">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9A4B51" w:rsidP="00ED51A8">
      <w:pPr>
        <w:rPr>
          <w:rFonts w:ascii="Garamond" w:hAnsi="Garamond"/>
          <w:sz w:val="10"/>
          <w:szCs w:val="10"/>
        </w:rPr>
      </w:pPr>
    </w:p>
    <w:p w:rsidR="009A4B51" w:rsidP="00736C76">
      <w:pPr>
        <w:ind w:left="360"/>
        <w:rPr>
          <w:rFonts w:ascii="Garamond" w:hAnsi="Garamond"/>
          <w:sz w:val="22"/>
          <w:szCs w:val="22"/>
        </w:rPr>
      </w:pPr>
      <w:r w:rsidR="003A5A15">
        <w:rPr>
          <w:rFonts w:ascii="Garamond" w:hAnsi="Garamond"/>
          <w:noProof/>
          <w:sz w:val="22"/>
          <w:szCs w:val="22"/>
        </w:rPr>
        <w:t>Ethan  Bassett</w:t>
      </w:r>
      <w:r w:rsidRPr="003A5A15">
        <w:rPr>
          <w:rFonts w:ascii="Garamond" w:hAnsi="Garamond"/>
          <w:sz w:val="22"/>
          <w:szCs w:val="22"/>
        </w:rPr>
        <w:t>,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Trevor  Maurer,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Racheal  Moroco, DO</w:t>
      </w:r>
    </w:p>
    <w:p w:rsidRPr="003A5A15" w:rsidP="00736C76">
      <w:pPr>
        <w:ind w:left="360"/>
        <w:rPr>
          <w:rFonts w:ascii="Garamond" w:hAnsi="Garamond"/>
          <w:sz w:val="22"/>
          <w:szCs w:val="22"/>
        </w:rPr>
      </w:pPr>
      <w:r w:rsidRPr="003A5A15">
        <w:rPr>
          <w:rFonts w:ascii="Garamond" w:hAnsi="Garamond"/>
          <w:sz w:val="22"/>
          <w:szCs w:val="22"/>
        </w:rPr>
        <w:t>Emily  Newton, PsyD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Vanessa  Shanks, MD Disclosure(s) - I/we have no financial relationships to report.</w:t>
      </w:r>
    </w:p>
    <w:p w:rsidRPr="003A5A15" w:rsidP="00736C76">
      <w:pPr>
        <w:ind w:left="360"/>
        <w:rPr>
          <w:rFonts w:ascii="Garamond" w:hAnsi="Garamond"/>
          <w:sz w:val="22"/>
          <w:szCs w:val="22"/>
        </w:rPr>
      </w:pPr>
    </w:p>
    <w:p w:rsidR="009A4B51" w:rsidP="00736C76">
      <w:pPr>
        <w:ind w:left="360"/>
        <w:rPr>
          <w:rFonts w:ascii="Garamond" w:hAnsi="Garamond"/>
          <w:sz w:val="22"/>
          <w:szCs w:val="22"/>
        </w:rPr>
      </w:pPr>
    </w:p>
    <w:p w:rsidR="009A4B51" w:rsidP="009A4B51">
      <w:pPr>
        <w:rPr>
          <w:rFonts w:ascii="Garamond" w:hAnsi="Garamond"/>
          <w:b/>
          <w:bCs/>
        </w:rPr>
      </w:pPr>
      <w:r>
        <w:rPr>
          <w:rFonts w:ascii="Garamond" w:hAnsi="Garamond"/>
          <w:b/>
          <w:bCs/>
        </w:rPr>
        <w:t>Planners Information:</w:t>
      </w:r>
    </w:p>
    <w:p w:rsidR="009A4B51" w:rsidRPr="009A4B51" w:rsidP="009A4B51">
      <w:pPr>
        <w:rPr>
          <w:rFonts w:ascii="Garamond" w:hAnsi="Garamond"/>
          <w:b/>
          <w:bCs/>
          <w:sz w:val="10"/>
          <w:szCs w:val="10"/>
        </w:rPr>
      </w:pPr>
    </w:p>
    <w:p w:rsidR="009A4B51" w:rsidRPr="009A4B51" w:rsidP="00736C76">
      <w:pPr>
        <w:ind w:left="360"/>
        <w:rPr>
          <w:rFonts w:ascii="Garamond" w:hAnsi="Garamond"/>
          <w:sz w:val="22"/>
          <w:szCs w:val="22"/>
        </w:rPr>
      </w:pPr>
    </w:p>
    <w:p w:rsidR="004A1EDE" w:rsidRPr="0037522E" w:rsidP="00B356C2">
      <w:pPr>
        <w:rPr>
          <w:rFonts w:ascii="Garamond" w:hAnsi="Garamond"/>
          <w:b/>
          <w:bCs/>
        </w:rPr>
      </w:pPr>
      <w:r>
        <w:rPr>
          <w:rFonts w:ascii="Garamond" w:hAnsi="Garamond"/>
          <w:b/>
          <w:bCs/>
        </w:rPr>
        <w:t>Activity</w:t>
      </w:r>
      <w:r w:rsidR="00E462AF">
        <w:rPr>
          <w:rFonts w:ascii="Garamond" w:hAnsi="Garamond"/>
          <w:b/>
          <w:bCs/>
        </w:rPr>
        <w:t xml:space="preserve"> </w:t>
      </w:r>
      <w:r w:rsidRPr="00DE0ABE" w:rsidR="00ED51A8">
        <w:rPr>
          <w:rFonts w:ascii="Garamond" w:hAnsi="Garamond"/>
          <w:b/>
          <w:bCs/>
        </w:rPr>
        <w:t>Objectives</w:t>
      </w:r>
      <w:r w:rsidRPr="00DE0ABE" w:rsidR="006156A3">
        <w:rPr>
          <w:rFonts w:ascii="Garamond" w:hAnsi="Garamond"/>
          <w:b/>
          <w:bCs/>
        </w:rPr>
        <w:t>:</w:t>
      </w:r>
      <w:r w:rsidR="006A4A00">
        <w:rPr>
          <w:rFonts w:ascii="Garamond" w:hAnsi="Garamond"/>
          <w:b/>
          <w:bCs/>
        </w:rPr>
        <w:t xml:space="preserve">  </w:t>
      </w:r>
    </w:p>
    <w:p w:rsidR="006A4A00" w:rsidRPr="003A5A15" w:rsidP="00A83DCA">
      <w:pPr>
        <w:ind w:left="540" w:hanging="180"/>
        <w:rPr>
          <w:rFonts w:ascii="Garamond" w:hAnsi="Garamond"/>
          <w:bCs/>
          <w:sz w:val="22"/>
          <w:szCs w:val="22"/>
        </w:rPr>
      </w:pPr>
      <w:r w:rsidR="003A5A15">
        <w:rPr>
          <w:rFonts w:ascii="Garamond" w:hAnsi="Garamond"/>
          <w:bCs/>
          <w:noProof/>
          <w:sz w:val="22"/>
          <w:szCs w:val="22"/>
        </w:rPr>
        <w:t>1 Review</w:t>
      </w:r>
      <w:r w:rsidRPr="003A5A15">
        <w:rPr>
          <w:rFonts w:ascii="Garamond" w:hAnsi="Garamond"/>
          <w:bCs/>
          <w:sz w:val="22"/>
          <w:szCs w:val="22"/>
        </w:rPr>
        <w:t xml:space="preserve"> current ACIP recommendations and updates.</w:t>
      </w:r>
    </w:p>
    <w:p w:rsidRPr="003A5A15" w:rsidP="00A83DCA">
      <w:pPr>
        <w:ind w:left="540" w:hanging="180"/>
        <w:rPr>
          <w:rFonts w:ascii="Garamond" w:hAnsi="Garamond"/>
          <w:bCs/>
          <w:sz w:val="22"/>
          <w:szCs w:val="22"/>
        </w:rPr>
      </w:pPr>
      <w:r w:rsidRPr="003A5A15">
        <w:rPr>
          <w:rFonts w:ascii="Garamond" w:hAnsi="Garamond"/>
          <w:bCs/>
          <w:sz w:val="22"/>
          <w:szCs w:val="22"/>
        </w:rPr>
        <w:t>2 Examine common vaccine myths and how to have discussions with patients and families to debunk these myths.</w:t>
      </w:r>
    </w:p>
    <w:p w:rsidRPr="003A5A15" w:rsidP="00A83DCA">
      <w:pPr>
        <w:ind w:left="540" w:hanging="180"/>
        <w:rPr>
          <w:rFonts w:ascii="Garamond" w:hAnsi="Garamond"/>
          <w:bCs/>
          <w:sz w:val="22"/>
          <w:szCs w:val="22"/>
        </w:rPr>
      </w:pPr>
      <w:r w:rsidRPr="003A5A15">
        <w:rPr>
          <w:rFonts w:ascii="Garamond" w:hAnsi="Garamond"/>
          <w:bCs/>
          <w:sz w:val="22"/>
          <w:szCs w:val="22"/>
        </w:rPr>
        <w:t>3 Discuss history of anti-vaccination and the current movement.</w:t>
      </w:r>
    </w:p>
    <w:p w:rsidRPr="003A5A15" w:rsidP="00A83DCA">
      <w:pPr>
        <w:ind w:left="540" w:hanging="180"/>
        <w:rPr>
          <w:rFonts w:ascii="Garamond" w:hAnsi="Garamond"/>
          <w:bCs/>
          <w:sz w:val="22"/>
          <w:szCs w:val="22"/>
        </w:rPr>
      </w:pPr>
      <w:r w:rsidRPr="003A5A15">
        <w:rPr>
          <w:rFonts w:ascii="Garamond" w:hAnsi="Garamond"/>
          <w:bCs/>
          <w:sz w:val="22"/>
          <w:szCs w:val="22"/>
        </w:rPr>
        <w:t>4 Learn how to educate parents/patients on vaccines and how to encourage the use of accurate online content.</w:t>
      </w:r>
    </w:p>
    <w:p w:rsidRPr="003A5A15" w:rsidP="00A83DCA">
      <w:pPr>
        <w:ind w:left="540" w:hanging="180"/>
        <w:rPr>
          <w:rFonts w:ascii="Garamond" w:hAnsi="Garamond"/>
          <w:bCs/>
          <w:sz w:val="22"/>
          <w:szCs w:val="22"/>
        </w:rPr>
      </w:pPr>
      <w:r w:rsidRPr="003A5A15">
        <w:rPr>
          <w:rFonts w:ascii="Garamond" w:hAnsi="Garamond"/>
          <w:bCs/>
          <w:sz w:val="22"/>
          <w:szCs w:val="22"/>
        </w:rPr>
        <w:t>5 Attendees will be able to identify differences in diagnostic profiles of those with Autism Spectrum Disorders.</w:t>
      </w:r>
    </w:p>
    <w:p w:rsidRPr="003A5A15" w:rsidP="00A83DCA">
      <w:pPr>
        <w:ind w:left="540" w:hanging="180"/>
        <w:rPr>
          <w:rFonts w:ascii="Garamond" w:hAnsi="Garamond"/>
          <w:bCs/>
          <w:sz w:val="22"/>
          <w:szCs w:val="22"/>
        </w:rPr>
      </w:pPr>
      <w:r w:rsidRPr="003A5A15">
        <w:rPr>
          <w:rFonts w:ascii="Garamond" w:hAnsi="Garamond"/>
          <w:bCs/>
          <w:sz w:val="22"/>
          <w:szCs w:val="22"/>
        </w:rPr>
        <w:t>6 Attendees will be able to utilize communication with client and caregivers to identify preferences during treatment.</w:t>
      </w:r>
    </w:p>
    <w:p w:rsidRPr="003A5A15" w:rsidP="00A83DCA">
      <w:pPr>
        <w:ind w:left="540" w:hanging="180"/>
        <w:rPr>
          <w:rFonts w:ascii="Garamond" w:hAnsi="Garamond"/>
          <w:bCs/>
          <w:sz w:val="22"/>
          <w:szCs w:val="22"/>
        </w:rPr>
      </w:pPr>
      <w:r w:rsidRPr="003A5A15">
        <w:rPr>
          <w:rFonts w:ascii="Garamond" w:hAnsi="Garamond"/>
          <w:bCs/>
          <w:sz w:val="22"/>
          <w:szCs w:val="22"/>
        </w:rPr>
        <w:t>7 Attendees will examine how symptoms of Autism Spectrum Disorder present specifically in medical settings.</w:t>
      </w:r>
    </w:p>
    <w:p w:rsidRPr="003A5A15" w:rsidP="00A83DCA">
      <w:pPr>
        <w:ind w:left="540" w:hanging="180"/>
        <w:rPr>
          <w:rFonts w:ascii="Garamond" w:hAnsi="Garamond"/>
          <w:bCs/>
          <w:sz w:val="22"/>
          <w:szCs w:val="22"/>
        </w:rPr>
      </w:pPr>
      <w:r w:rsidRPr="003A5A15">
        <w:rPr>
          <w:rFonts w:ascii="Garamond" w:hAnsi="Garamond"/>
          <w:bCs/>
          <w:sz w:val="22"/>
          <w:szCs w:val="22"/>
        </w:rPr>
        <w:t>8 Attendees will be able to implement proactive strategies to increase positive outcomes for individuals with ASD in medical settings.</w:t>
      </w:r>
    </w:p>
    <w:p w:rsidRPr="003A5A15" w:rsidP="00A83DCA">
      <w:pPr>
        <w:ind w:left="540" w:hanging="180"/>
        <w:rPr>
          <w:rFonts w:ascii="Garamond" w:hAnsi="Garamond"/>
          <w:bCs/>
          <w:sz w:val="22"/>
          <w:szCs w:val="22"/>
        </w:rPr>
      </w:pPr>
      <w:r w:rsidRPr="003A5A15">
        <w:rPr>
          <w:rFonts w:ascii="Garamond" w:hAnsi="Garamond"/>
          <w:bCs/>
          <w:sz w:val="22"/>
          <w:szCs w:val="22"/>
        </w:rPr>
        <w:t>9 Differentiate a normal lingual frenulum attachment from one considered to be a tongue tie</w:t>
      </w:r>
    </w:p>
    <w:p w:rsidRPr="003A5A15" w:rsidP="00A83DCA">
      <w:pPr>
        <w:ind w:left="540" w:hanging="180"/>
        <w:rPr>
          <w:rFonts w:ascii="Garamond" w:hAnsi="Garamond"/>
          <w:bCs/>
          <w:sz w:val="22"/>
          <w:szCs w:val="22"/>
        </w:rPr>
      </w:pPr>
      <w:r w:rsidRPr="003A5A15">
        <w:rPr>
          <w:rFonts w:ascii="Garamond" w:hAnsi="Garamond"/>
          <w:bCs/>
          <w:sz w:val="22"/>
          <w:szCs w:val="22"/>
        </w:rPr>
        <w:t>10 Describe the effect of ankyloglossia on the ability of the newborn to latch and breastfeed successfully</w:t>
      </w:r>
    </w:p>
    <w:p w:rsidRPr="003A5A15" w:rsidP="00A83DCA">
      <w:pPr>
        <w:ind w:left="540" w:hanging="180"/>
        <w:rPr>
          <w:rFonts w:ascii="Garamond" w:hAnsi="Garamond"/>
          <w:bCs/>
          <w:sz w:val="22"/>
          <w:szCs w:val="22"/>
        </w:rPr>
      </w:pPr>
      <w:r w:rsidRPr="003A5A15">
        <w:rPr>
          <w:rFonts w:ascii="Garamond" w:hAnsi="Garamond"/>
          <w:bCs/>
          <w:sz w:val="22"/>
          <w:szCs w:val="22"/>
        </w:rPr>
        <w:t>11 Determine appropriate candidates for lingual frenotomy</w:t>
      </w:r>
    </w:p>
    <w:p w:rsidRPr="003A5A15" w:rsidP="00A83DCA">
      <w:pPr>
        <w:ind w:left="540" w:hanging="180"/>
        <w:rPr>
          <w:rFonts w:ascii="Garamond" w:hAnsi="Garamond"/>
          <w:bCs/>
          <w:sz w:val="22"/>
          <w:szCs w:val="22"/>
        </w:rPr>
      </w:pPr>
      <w:r w:rsidRPr="003A5A15">
        <w:rPr>
          <w:rFonts w:ascii="Garamond" w:hAnsi="Garamond"/>
          <w:bCs/>
          <w:sz w:val="22"/>
          <w:szCs w:val="22"/>
        </w:rPr>
        <w:t>12 Describe if there are any long term issues associated with not identifying neonatal ankyloglossia</w:t>
      </w:r>
    </w:p>
    <w:p w:rsidR="006A4A00" w:rsidRPr="003A5A15" w:rsidP="00A83DCA">
      <w:pPr>
        <w:ind w:left="540" w:hanging="180"/>
        <w:rPr>
          <w:rFonts w:ascii="Garamond" w:hAnsi="Garamond"/>
          <w:bCs/>
          <w:sz w:val="22"/>
          <w:szCs w:val="22"/>
        </w:rPr>
      </w:pPr>
      <w:r w:rsidRPr="003A5A15">
        <w:rPr>
          <w:rFonts w:ascii="Garamond" w:hAnsi="Garamond"/>
          <w:bCs/>
          <w:sz w:val="22"/>
          <w:szCs w:val="22"/>
        </w:rPr>
        <w:t>13 Relate an approach to the lingual frenotomy procedure</w:t>
      </w:r>
    </w:p>
    <w:p w:rsidR="0022378B" w:rsidP="00B20291">
      <w:pPr>
        <w:rPr>
          <w:rFonts w:ascii="Garamond" w:hAnsi="Garamond"/>
          <w:b/>
        </w:rPr>
      </w:pPr>
    </w:p>
    <w:p w:rsidR="00AE4284" w:rsidP="00B20291">
      <w:pPr>
        <w:rPr>
          <w:rFonts w:ascii="Garamond" w:hAnsi="Garamond"/>
          <w:b/>
        </w:rPr>
      </w:pPr>
    </w:p>
    <w:p w:rsidR="0022378B" w:rsidRPr="00B20291" w:rsidP="00B20291">
      <w:pPr>
        <w:rPr>
          <w:rFonts w:ascii="Garamond" w:hAnsi="Garamond"/>
          <w:b/>
        </w:rPr>
      </w:pPr>
    </w:p>
    <w:p w:rsidR="007223AF" w:rsidP="007223AF">
      <w:pPr>
        <w:rPr>
          <w:iCs/>
          <w:sz w:val="16"/>
          <w:szCs w:val="16"/>
        </w:rPr>
        <w:sectPr w:rsidSect="00160034">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26"/>
        </w:sectPr>
      </w:pPr>
    </w:p>
    <w:p w:rsidR="007223AF" w:rsidP="007223AF">
      <w:pPr>
        <w:rPr>
          <w:iCs/>
          <w:sz w:val="16"/>
          <w:szCs w:val="16"/>
        </w:rPr>
      </w:pPr>
      <w:r>
        <w:rPr>
          <w:noProof/>
          <w:sz w:val="16"/>
          <w:szCs w:val="16"/>
        </w:rPr>
        <w:drawing>
          <wp:inline distT="0" distB="0" distL="0" distR="0">
            <wp:extent cx="609600" cy="419224"/>
            <wp:effectExtent l="0" t="0" r="0" b="0"/>
            <wp:docPr id="16" name="Picture 16" descr="A picture containing gam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09600" cy="419224"/>
                    </a:xfrm>
                    <a:prstGeom prst="rect">
                      <a:avLst/>
                    </a:prstGeom>
                    <a:noFill/>
                    <a:ln>
                      <a:noFill/>
                    </a:ln>
                  </pic:spPr>
                </pic:pic>
              </a:graphicData>
            </a:graphic>
          </wp:inline>
        </w:drawing>
      </w:r>
    </w:p>
    <w:p w:rsidR="00BB7ABA" w:rsidP="007223AF">
      <w:pPr>
        <w:rPr>
          <w:sz w:val="16"/>
          <w:szCs w:val="16"/>
        </w:rPr>
      </w:pPr>
      <w:r>
        <w:rPr>
          <w:iCs/>
          <w:sz w:val="16"/>
          <w:szCs w:val="16"/>
        </w:rPr>
        <w:br w:type="column"/>
      </w:r>
      <w:r w:rsidRPr="00160034">
        <w:rPr>
          <w:sz w:val="16"/>
          <w:szCs w:val="16"/>
        </w:rPr>
        <w:t>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w:t>
      </w:r>
      <w:r w:rsidR="005F118A">
        <w:rPr>
          <w:sz w:val="16"/>
          <w:szCs w:val="16"/>
        </w:rPr>
        <w:t>m</w:t>
      </w:r>
      <w:r w:rsidR="000D59D9">
        <w:rPr>
          <w:sz w:val="16"/>
          <w:szCs w:val="16"/>
        </w:rPr>
        <w:t>.</w:t>
      </w:r>
      <w:r w:rsidR="004655DC">
        <w:rPr>
          <w:sz w:val="16"/>
          <w:szCs w:val="16"/>
        </w:rPr>
        <w:t xml:space="preserve"> </w:t>
      </w:r>
      <w:r w:rsidRPr="004655DC" w:rsidR="007D51DA">
        <w:rPr>
          <w:sz w:val="16"/>
          <w:szCs w:val="16"/>
        </w:rPr>
        <w:fldChar w:fldCharType="begin"/>
      </w:r>
      <w:r w:rsidRPr="004655DC" w:rsidR="007D51DA">
        <w:rPr>
          <w:sz w:val="16"/>
          <w:szCs w:val="16"/>
        </w:rPr>
        <w:instrText xml:space="preserve"> IF </w:instrText>
      </w:r>
      <w:r w:rsidRPr="004655DC" w:rsidR="00024D57">
        <w:rPr>
          <w:sz w:val="16"/>
          <w:szCs w:val="16"/>
        </w:rPr>
        <w:fldChar w:fldCharType="begin"/>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3.00</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1</w:instrText>
      </w:r>
      <w:r w:rsidRPr="004655DC" w:rsidR="00024D57">
        <w:rPr>
          <w:sz w:val="16"/>
          <w:szCs w:val="16"/>
        </w:rPr>
        <w:fldChar w:fldCharType="end"/>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0</w:instrText>
      </w:r>
      <w:r w:rsidRPr="004655DC" w:rsidR="00024D57">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004655DC">
        <w:rPr>
          <w:noProof/>
          <w:sz w:val="16"/>
          <w:szCs w:val="16"/>
        </w:rPr>
        <w:instrText>3.00</w:instrText>
      </w:r>
      <w:r w:rsidRPr="004655DC" w:rsidR="0034051B">
        <w:rPr>
          <w:sz w:val="16"/>
          <w:szCs w:val="16"/>
        </w:rPr>
        <w:instrText xml:space="preserve"> &gt; 0 1 0 \* MERGEFORMAT </w:instrText>
      </w:r>
      <w:r w:rsidRPr="004655DC" w:rsidR="0034051B">
        <w:rPr>
          <w:sz w:val="16"/>
          <w:szCs w:val="16"/>
        </w:rPr>
        <w:fldChar w:fldCharType="separate"/>
      </w:r>
      <w:r w:rsidRPr="004655DC" w:rsidR="004655DC">
        <w:rPr>
          <w:noProof/>
          <w:sz w:val="16"/>
          <w:szCs w:val="16"/>
        </w:rPr>
        <w:instrText>1</w:instrText>
      </w:r>
      <w:r w:rsidRPr="004655DC" w:rsidR="0034051B">
        <w:rPr>
          <w:sz w:val="16"/>
          <w:szCs w:val="16"/>
        </w:rPr>
        <w:fldChar w:fldCharType="end"/>
      </w:r>
      <w:r w:rsidRPr="004655DC" w:rsidR="00024D57">
        <w:rPr>
          <w:sz w:val="16"/>
          <w:szCs w:val="16"/>
        </w:rPr>
        <w:instrText xml:space="preserve"> \* MERGEFORMAT </w:instrText>
      </w:r>
      <w:r w:rsidRPr="004655DC" w:rsidR="00024D57">
        <w:rPr>
          <w:sz w:val="16"/>
          <w:szCs w:val="16"/>
        </w:rPr>
        <w:fldChar w:fldCharType="separate"/>
      </w:r>
      <w:r w:rsidR="004655DC">
        <w:rPr>
          <w:noProof/>
          <w:sz w:val="16"/>
          <w:szCs w:val="16"/>
        </w:rPr>
        <w:instrText>2</w:instrText>
      </w:r>
      <w:r w:rsidRPr="004655DC" w:rsidR="00024D57">
        <w:rPr>
          <w:sz w:val="16"/>
          <w:szCs w:val="16"/>
        </w:rPr>
        <w:fldChar w:fldCharType="end"/>
      </w:r>
      <w:r w:rsidRPr="004655DC" w:rsidR="007D51DA">
        <w:rPr>
          <w:sz w:val="16"/>
          <w:szCs w:val="16"/>
        </w:rPr>
        <w:instrText xml:space="preserve"> </w:instrText>
      </w:r>
      <w:r w:rsidRPr="004655DC" w:rsidR="0034051B">
        <w:rPr>
          <w:sz w:val="16"/>
          <w:szCs w:val="16"/>
        </w:rPr>
        <w:instrText>&gt;</w:instrText>
      </w:r>
      <w:r w:rsidRPr="004655DC" w:rsidR="00024D57">
        <w:rPr>
          <w:sz w:val="16"/>
          <w:szCs w:val="16"/>
        </w:rPr>
        <w:instrText xml:space="preserve"> </w:instrText>
      </w:r>
      <w:r w:rsidRPr="004655DC" w:rsidR="0034051B">
        <w:rPr>
          <w:sz w:val="16"/>
          <w:szCs w:val="16"/>
        </w:rPr>
        <w:instrText>0</w:instrText>
      </w:r>
      <w:r w:rsidRPr="004655DC" w:rsidR="00024D57">
        <w:rPr>
          <w:sz w:val="16"/>
          <w:szCs w:val="16"/>
        </w:rPr>
        <w:instrText xml:space="preserve"> </w:instrText>
      </w:r>
      <w:r w:rsidRPr="004655DC" w:rsidR="004623EE">
        <w:rPr>
          <w:sz w:val="16"/>
          <w:szCs w:val="16"/>
        </w:rPr>
        <w:instrText>"(</w:instrText>
      </w:r>
      <w:r w:rsidRPr="004655DC" w:rsidR="004623EE">
        <w:rPr>
          <w:sz w:val="16"/>
          <w:szCs w:val="16"/>
        </w:rPr>
        <w:fldChar w:fldCharType="begin"/>
      </w:r>
      <w:r w:rsidRPr="004655DC" w:rsidR="004623EE">
        <w:rPr>
          <w:sz w:val="16"/>
          <w:szCs w:val="16"/>
        </w:rPr>
        <w:instrText xml:space="preserve"> IF </w:instrText>
      </w:r>
      <w:r w:rsidRPr="004655DC" w:rsidR="004623EE">
        <w:rPr>
          <w:noProof/>
          <w:sz w:val="16"/>
          <w:szCs w:val="16"/>
        </w:rPr>
        <w:instrText>3.00</w:instrText>
      </w:r>
      <w:r w:rsidRPr="004655DC" w:rsidR="004623EE">
        <w:rPr>
          <w:sz w:val="16"/>
          <w:szCs w:val="16"/>
        </w:rPr>
        <w:instrText xml:space="preserve"> &gt; 0 "</w:instrText>
      </w:r>
      <w:r w:rsidRPr="004655DC" w:rsidR="004623EE">
        <w:rPr>
          <w:noProof/>
          <w:sz w:val="16"/>
          <w:szCs w:val="16"/>
        </w:rPr>
        <w:instrText>3.0</w:instrText>
      </w:r>
      <w:r w:rsidRPr="004655DC" w:rsidR="004623EE">
        <w:rPr>
          <w:sz w:val="16"/>
          <w:szCs w:val="16"/>
        </w:rPr>
        <w:instrText xml:space="preserve"> ANCC contact hours" "" \* MERGEFORMAT </w:instrText>
      </w:r>
      <w:r w:rsidRPr="004655DC" w:rsidR="004623EE">
        <w:rPr>
          <w:sz w:val="16"/>
          <w:szCs w:val="16"/>
        </w:rPr>
        <w:fldChar w:fldCharType="separate"/>
      </w:r>
      <w:r w:rsidRPr="004655DC" w:rsidR="004623EE">
        <w:rPr>
          <w:noProof/>
          <w:sz w:val="16"/>
          <w:szCs w:val="16"/>
        </w:rPr>
        <w:instrText>3.0 ANCC contact hours</w:instrText>
      </w:r>
      <w:r w:rsidRPr="004655DC" w:rsidR="004623EE">
        <w:rPr>
          <w:sz w:val="16"/>
          <w:szCs w:val="16"/>
        </w:rPr>
        <w:fldChar w:fldCharType="end"/>
      </w:r>
      <w:r w:rsidRPr="004655DC" w:rsidR="004623EE">
        <w:rPr>
          <w:sz w:val="16"/>
          <w:szCs w:val="16"/>
        </w:rPr>
        <w:fldChar w:fldCharType="begin"/>
      </w:r>
      <w:r w:rsidRPr="004655DC" w:rsidR="004623EE">
        <w:rPr>
          <w:sz w:val="16"/>
          <w:szCs w:val="16"/>
        </w:rPr>
        <w:instrText xml:space="preserve"> IF </w:instrText>
      </w:r>
      <w:r w:rsidRPr="004655DC" w:rsidR="00CF3DA5">
        <w:rPr>
          <w:noProof/>
          <w:sz w:val="16"/>
          <w:szCs w:val="16"/>
        </w:rPr>
        <w:instrText>0.00</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ANCCHOURSMax \* MERGEFORMAT </w:instrText>
      </w:r>
      <w:r w:rsidRPr="004655DC" w:rsidR="00CF3DA5">
        <w:rPr>
          <w:sz w:val="16"/>
          <w:szCs w:val="16"/>
        </w:rPr>
        <w:fldChar w:fldCharType="separate"/>
      </w:r>
      <w:r w:rsidRPr="004655DC" w:rsidR="00CF3DA5">
        <w:rPr>
          <w:noProof/>
          <w:sz w:val="16"/>
          <w:szCs w:val="16"/>
        </w:rPr>
        <w:instrText>«ANCCHOURSMax»</w:instrText>
      </w:r>
      <w:r w:rsidRPr="004655DC" w:rsidR="00CF3DA5">
        <w:rPr>
          <w:sz w:val="16"/>
          <w:szCs w:val="16"/>
        </w:rPr>
        <w:fldChar w:fldCharType="end"/>
      </w:r>
      <w:r w:rsidRPr="004655DC" w:rsidR="00CF3DA5">
        <w:rPr>
          <w:sz w:val="16"/>
          <w:szCs w:val="16"/>
        </w:rPr>
        <w:instrText xml:space="preserve"> &gt; 0 "; "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CF3DA5">
        <w:rPr>
          <w:sz w:val="16"/>
          <w:szCs w:val="16"/>
        </w:rPr>
        <w:fldChar w:fldCharType="begin"/>
      </w:r>
      <w:r w:rsidRPr="004655DC" w:rsidR="00CF3DA5">
        <w:rPr>
          <w:sz w:val="16"/>
          <w:szCs w:val="16"/>
        </w:rPr>
        <w:instrText xml:space="preserve"> MERGEFIELD ACPEHOURSMax \# 0.0</w:instrText>
      </w:r>
      <w:r w:rsidRPr="004655DC" w:rsidR="0031221A">
        <w:rPr>
          <w:sz w:val="16"/>
          <w:szCs w:val="16"/>
        </w:rPr>
        <w:instrText>#</w:instrText>
      </w:r>
      <w:r w:rsidRPr="004655DC" w:rsidR="00CF3DA5">
        <w:rPr>
          <w:sz w:val="16"/>
          <w:szCs w:val="16"/>
        </w:rPr>
        <w:instrText xml:space="preserve"> \* MERGEFORMAT </w:instrText>
      </w:r>
      <w:r w:rsidRPr="004655DC" w:rsidR="00CF3DA5">
        <w:rPr>
          <w:sz w:val="16"/>
          <w:szCs w:val="16"/>
        </w:rPr>
        <w:fldChar w:fldCharType="separate"/>
      </w:r>
      <w:r w:rsidRPr="004655DC" w:rsidR="00CF3DA5">
        <w:rPr>
          <w:noProof/>
          <w:sz w:val="16"/>
          <w:szCs w:val="16"/>
        </w:rPr>
        <w:instrText>«ACPEHOURSMax»</w:instrText>
      </w:r>
      <w:r w:rsidRPr="004655DC" w:rsidR="00CF3DA5">
        <w:rPr>
          <w:sz w:val="16"/>
          <w:szCs w:val="16"/>
        </w:rPr>
        <w:fldChar w:fldCharType="end"/>
      </w:r>
      <w:r w:rsidRPr="004655DC" w:rsidR="00CF3DA5">
        <w:rPr>
          <w:sz w:val="16"/>
          <w:szCs w:val="16"/>
        </w:rPr>
        <w:instrText xml:space="preserve"> ACPE hours" ""</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sz w:val="16"/>
          <w:szCs w:val="16"/>
        </w:rPr>
        <w:fldChar w:fldCharType="end"/>
      </w:r>
      <w:r w:rsidRPr="004655DC" w:rsidR="00CF3DA5">
        <w:rPr>
          <w:sz w:val="16"/>
          <w:szCs w:val="16"/>
        </w:rPr>
        <w:fldChar w:fldCharType="begin"/>
      </w:r>
      <w:r w:rsidRPr="004655DC" w:rsidR="00CF3DA5">
        <w:rPr>
          <w:sz w:val="16"/>
          <w:szCs w:val="16"/>
        </w:rPr>
        <w:instrText xml:space="preserve"> IF </w:instrText>
      </w:r>
      <w:r w:rsidRPr="004655DC" w:rsidR="00CF3DA5">
        <w:rPr>
          <w:noProof/>
          <w:sz w:val="16"/>
          <w:szCs w:val="16"/>
        </w:rPr>
        <w:instrText>3.00</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34051B">
        <w:rPr>
          <w:sz w:val="16"/>
          <w:szCs w:val="16"/>
        </w:rPr>
        <w:fldChar w:fldCharType="begin"/>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3.00</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1</w:instrText>
      </w:r>
      <w:r w:rsidRPr="004655DC" w:rsidR="0034051B">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0.00</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0</w:instrText>
      </w:r>
      <w:r w:rsidRPr="004655DC" w:rsidR="0034051B">
        <w:rPr>
          <w:sz w:val="16"/>
          <w:szCs w:val="16"/>
        </w:rPr>
        <w:fldChar w:fldCharType="end"/>
      </w:r>
      <w:r w:rsidRPr="004655DC" w:rsidR="0034051B">
        <w:rPr>
          <w:sz w:val="16"/>
          <w:szCs w:val="16"/>
        </w:rPr>
        <w:instrText xml:space="preserve"> \* MERGEFORMAT </w:instrText>
      </w:r>
      <w:r w:rsidRPr="004655DC" w:rsidR="0034051B">
        <w:rPr>
          <w:sz w:val="16"/>
          <w:szCs w:val="16"/>
        </w:rPr>
        <w:fldChar w:fldCharType="separate"/>
      </w:r>
      <w:r w:rsidRPr="004655DC" w:rsidR="0034051B">
        <w:rPr>
          <w:noProof/>
          <w:sz w:val="16"/>
          <w:szCs w:val="16"/>
        </w:rPr>
        <w:instrText>1</w:instrText>
      </w:r>
      <w:r w:rsidRPr="004655DC" w:rsidR="0034051B">
        <w:rPr>
          <w:sz w:val="16"/>
          <w:szCs w:val="16"/>
        </w:rPr>
        <w:fldChar w:fldCharType="end"/>
      </w:r>
      <w:r w:rsidRPr="004655DC" w:rsidR="0034051B">
        <w:rPr>
          <w:sz w:val="16"/>
          <w:szCs w:val="16"/>
        </w:rPr>
        <w:instrText xml:space="preserve"> &gt; 0</w:instrText>
      </w:r>
      <w:r w:rsidRPr="004655DC" w:rsidR="00CF3DA5">
        <w:rPr>
          <w:sz w:val="16"/>
          <w:szCs w:val="16"/>
        </w:rPr>
        <w:instrText xml:space="preserve"> "; " ""\* MERGEFORMAT </w:instrText>
      </w:r>
      <w:r w:rsidRPr="004655DC" w:rsidR="00CF3DA5">
        <w:rPr>
          <w:sz w:val="16"/>
          <w:szCs w:val="16"/>
        </w:rPr>
        <w:fldChar w:fldCharType="separate"/>
      </w:r>
      <w:r w:rsidRPr="004655DC" w:rsidR="00CF3DA5">
        <w:rPr>
          <w:noProof/>
          <w:sz w:val="16"/>
          <w:szCs w:val="16"/>
        </w:rPr>
        <w:instrText xml:space="preserve">; </w:instrText>
      </w:r>
      <w:r w:rsidRPr="004655DC" w:rsidR="00CF3DA5">
        <w:rPr>
          <w:sz w:val="16"/>
          <w:szCs w:val="16"/>
        </w:rPr>
        <w:fldChar w:fldCharType="end"/>
      </w:r>
      <w:r w:rsidRPr="004655DC" w:rsidR="003F79E7">
        <w:rPr>
          <w:noProof/>
          <w:sz w:val="16"/>
          <w:szCs w:val="16"/>
        </w:rPr>
        <w:instrText>3.0</w:instrText>
      </w:r>
      <w:r w:rsidRPr="004655DC" w:rsidR="003F79E7">
        <w:rPr>
          <w:sz w:val="16"/>
          <w:szCs w:val="16"/>
        </w:rPr>
        <w:instrText xml:space="preserve"> CME hours</w:instrText>
      </w:r>
      <w:r w:rsidRPr="004655DC" w:rsidR="00CF3DA5">
        <w:rPr>
          <w:sz w:val="16"/>
          <w:szCs w:val="16"/>
        </w:rPr>
        <w:instrText xml:space="preserve">" "" \* MERGEFORMAT </w:instrText>
      </w:r>
      <w:r w:rsidRPr="004655DC" w:rsidR="00CF3DA5">
        <w:rPr>
          <w:sz w:val="16"/>
          <w:szCs w:val="16"/>
        </w:rPr>
        <w:fldChar w:fldCharType="separate"/>
      </w:r>
      <w:r w:rsidRPr="004655DC" w:rsidR="00CF3DA5">
        <w:rPr>
          <w:noProof/>
          <w:sz w:val="16"/>
          <w:szCs w:val="16"/>
        </w:rPr>
        <w:instrText>; 3.0 CME hours</w:instrText>
      </w:r>
      <w:r w:rsidRPr="004655DC" w:rsidR="00CF3DA5">
        <w:rPr>
          <w:sz w:val="16"/>
          <w:szCs w:val="16"/>
        </w:rPr>
        <w:fldChar w:fldCharType="end"/>
      </w:r>
      <w:r w:rsidRPr="004655DC" w:rsidR="004623EE">
        <w:rPr>
          <w:sz w:val="16"/>
          <w:szCs w:val="16"/>
        </w:rPr>
        <w:instrText xml:space="preserve">)" "" </w:instrText>
      </w:r>
      <w:r w:rsidRPr="004655DC" w:rsidR="007D51DA">
        <w:rPr>
          <w:sz w:val="16"/>
          <w:szCs w:val="16"/>
        </w:rPr>
        <w:instrText xml:space="preserve">\* MERGEFORMAT </w:instrText>
      </w:r>
      <w:r w:rsidRPr="004655DC" w:rsidR="007D51DA">
        <w:rPr>
          <w:sz w:val="16"/>
          <w:szCs w:val="16"/>
        </w:rPr>
        <w:fldChar w:fldCharType="separate"/>
      </w:r>
      <w:r w:rsidRPr="004655DC" w:rsidR="004623EE">
        <w:rPr>
          <w:sz w:val="16"/>
          <w:szCs w:val="16"/>
        </w:rPr>
        <w:t>(</w:t>
      </w:r>
      <w:r w:rsidRPr="004655DC" w:rsidR="004623EE">
        <w:rPr>
          <w:noProof/>
          <w:sz w:val="16"/>
          <w:szCs w:val="16"/>
        </w:rPr>
        <w:t>3.0 ANCC contact hours</w:t>
      </w:r>
      <w:r w:rsidRPr="004655DC" w:rsidR="00CF3DA5">
        <w:rPr>
          <w:noProof/>
          <w:sz w:val="16"/>
          <w:szCs w:val="16"/>
        </w:rPr>
        <w:t>; 3.0 CME hours</w:t>
      </w:r>
      <w:r w:rsidRPr="004655DC" w:rsidR="004623EE">
        <w:rPr>
          <w:sz w:val="16"/>
          <w:szCs w:val="16"/>
        </w:rPr>
        <w:t>)</w:t>
      </w:r>
      <w:r w:rsidRPr="004655DC" w:rsidR="007D51DA">
        <w:rPr>
          <w:sz w:val="16"/>
          <w:szCs w:val="16"/>
        </w:rPr>
        <w:fldChar w:fldCharType="end"/>
      </w:r>
    </w:p>
    <w:p w:rsidR="00BB7ABA" w:rsidP="007223AF">
      <w:pPr>
        <w:rPr>
          <w:sz w:val="16"/>
          <w:szCs w:val="16"/>
        </w:rPr>
        <w:sectPr w:rsidSect="007223AF">
          <w:type w:val="continuous"/>
          <w:pgSz w:w="12240" w:h="15840"/>
          <w:pgMar w:top="720" w:right="720" w:bottom="720" w:left="720" w:header="720" w:footer="720" w:gutter="0"/>
          <w:cols w:num="2" w:space="144" w:equalWidth="0">
            <w:col w:w="1080" w:space="144"/>
            <w:col w:w="9576"/>
          </w:cols>
          <w:docGrid w:linePitch="326"/>
        </w:sectPr>
      </w:pPr>
    </w:p>
    <w:p w:rsidR="000433F4" w:rsidRPr="004655DC" w:rsidP="007223AF">
      <w:pPr>
        <w:rPr>
          <w:sz w:val="16"/>
          <w:szCs w:val="16"/>
        </w:rPr>
        <w:sectPr w:rsidSect="003F79E7">
          <w:type w:val="continuous"/>
          <w:pgSz w:w="12240" w:h="15840"/>
          <w:pgMar w:top="720" w:right="720" w:bottom="720" w:left="720" w:header="720" w:footer="720" w:gutter="0"/>
          <w:cols w:num="2" w:space="144" w:equalWidth="0">
            <w:col w:w="9576" w:space="144"/>
            <w:col w:w="1080"/>
          </w:cols>
          <w:docGrid w:linePitch="326"/>
        </w:sectPr>
      </w:pPr>
      <w:r w:rsidRPr="004655DC">
        <w:rPr>
          <w:iCs/>
          <w:sz w:val="16"/>
          <w:szCs w:val="16"/>
        </w:rPr>
        <w:fldChar w:fldCharType="begin"/>
      </w:r>
      <w:r w:rsidRPr="004655DC">
        <w:rPr>
          <w:iCs/>
          <w:sz w:val="16"/>
          <w:szCs w:val="16"/>
        </w:rPr>
        <w:instrText xml:space="preserve"> IF </w:instrText>
      </w:r>
      <w:r w:rsidR="004655DC">
        <w:rPr>
          <w:iCs/>
          <w:noProof/>
          <w:sz w:val="16"/>
          <w:szCs w:val="16"/>
        </w:rPr>
        <w:instrText>0.00</w:instrText>
      </w:r>
      <w:r w:rsidRPr="004655DC">
        <w:rPr>
          <w:iCs/>
          <w:sz w:val="16"/>
          <w:szCs w:val="16"/>
        </w:rPr>
        <w:instrText xml:space="preserve"> &gt; 0 "</w:instrText>
      </w:r>
      <w:r w:rsidRPr="004655DC">
        <w:rPr>
          <w:sz w:val="16"/>
          <w:szCs w:val="16"/>
        </w:rPr>
        <w:instrText xml:space="preserve"> Nationwide Children's Hospital has been authorized by the American Academy of PAs (AAPA) to award AAPA Category 1 CME credit for activities planned in accordance with AAPA CME Criteria. This activity is designated for </w:instrText>
      </w:r>
      <w:r w:rsidRPr="004655DC" w:rsidR="0085293E">
        <w:rPr>
          <w:sz w:val="16"/>
          <w:szCs w:val="16"/>
        </w:rPr>
        <w:fldChar w:fldCharType="begin"/>
      </w:r>
      <w:r w:rsidRPr="004655DC" w:rsidR="0085293E">
        <w:rPr>
          <w:sz w:val="16"/>
          <w:szCs w:val="16"/>
        </w:rPr>
        <w:instrText xml:space="preserve"> MERGEFIELD AAPAHOURSMax \# 0.0</w:instrText>
      </w:r>
      <w:r w:rsidRPr="004655DC" w:rsidR="0031221A">
        <w:rPr>
          <w:sz w:val="16"/>
          <w:szCs w:val="16"/>
        </w:rPr>
        <w:instrText>#</w:instrText>
      </w:r>
      <w:r w:rsidRPr="004655DC" w:rsidR="0085293E">
        <w:rPr>
          <w:sz w:val="16"/>
          <w:szCs w:val="16"/>
        </w:rPr>
        <w:instrText xml:space="preserve"> \* MERGEFORMAT </w:instrText>
      </w:r>
      <w:r w:rsidRPr="004655DC" w:rsidR="0085293E">
        <w:rPr>
          <w:sz w:val="16"/>
          <w:szCs w:val="16"/>
        </w:rPr>
        <w:fldChar w:fldCharType="separate"/>
      </w:r>
      <w:r w:rsidRPr="004655DC" w:rsidR="0085293E">
        <w:rPr>
          <w:noProof/>
          <w:sz w:val="16"/>
          <w:szCs w:val="16"/>
        </w:rPr>
        <w:instrText>«AAPAHOURSMax»</w:instrText>
      </w:r>
      <w:r w:rsidRPr="004655DC" w:rsidR="0085293E">
        <w:rPr>
          <w:sz w:val="16"/>
          <w:szCs w:val="16"/>
        </w:rPr>
        <w:fldChar w:fldCharType="end"/>
      </w:r>
      <w:r w:rsidRPr="004655DC">
        <w:rPr>
          <w:sz w:val="16"/>
          <w:szCs w:val="16"/>
        </w:rPr>
        <w:instrText xml:space="preserve"> AAPA Category 1 CME credits. Approval is valid for 2 years from the date of the activity. PAs should only claim credit commensurate with the extent of their participation.</w:instrText>
      </w:r>
      <w:r w:rsidRPr="004655DC" w:rsidR="00F52C7F">
        <w:rPr>
          <w:sz w:val="16"/>
          <w:szCs w:val="16"/>
        </w:rPr>
        <w:br w:type="column"/>
      </w:r>
      <w:r w:rsidRPr="004655DC" w:rsidR="00F52C7F">
        <w:rPr>
          <w:noProof/>
        </w:rPr>
        <w:drawing>
          <wp:inline distT="0" distB="0" distL="0" distR="0">
            <wp:extent cx="304800" cy="304800"/>
            <wp:effectExtent l="0" t="0" r="0" b="0"/>
            <wp:docPr id="22" name="Picture 22" descr="C:\Users\nxo009\AppData\Local\Microsoft\Windows\INetCache\Content.MSO\29FED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xo009\AppData\Local\Microsoft\Windows\INetCache\Content.MSO\29FED1BE.tmp"/>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71B99" w:rsidRPr="004655DC" w:rsidP="002711D9">
      <w:pPr>
        <w:rPr>
          <w:iCs/>
          <w:sz w:val="16"/>
          <w:szCs w:val="16"/>
        </w:rPr>
      </w:pPr>
    </w:p>
    <w:p w:rsidR="00571B99" w:rsidRPr="004655DC" w:rsidP="002711D9">
      <w:pPr>
        <w:rPr>
          <w:iCs/>
          <w:sz w:val="16"/>
          <w:szCs w:val="16"/>
        </w:rPr>
        <w:sectPr w:rsidSect="00F52C7F">
          <w:type w:val="continuous"/>
          <w:pgSz w:w="12240" w:h="15840"/>
          <w:pgMar w:top="720" w:right="720" w:bottom="720" w:left="720" w:header="720" w:footer="720" w:gutter="0"/>
          <w:cols w:space="144"/>
          <w:docGrid w:linePitch="326"/>
        </w:sectPr>
      </w:pPr>
    </w:p>
    <w:p w:rsidR="00571B99" w:rsidRPr="004655DC" w:rsidP="002711D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11D9">
        <w:rPr>
          <w:iCs/>
          <w:sz w:val="16"/>
          <w:szCs w:val="16"/>
        </w:rPr>
        <w:fldChar w:fldCharType="begin"/>
      </w:r>
      <w:r w:rsidRPr="004655DC" w:rsidR="002711D9">
        <w:rPr>
          <w:iCs/>
          <w:sz w:val="16"/>
          <w:szCs w:val="16"/>
        </w:rPr>
        <w:instrText xml:space="preserve"> IF </w:instrText>
      </w:r>
      <w:r w:rsidR="004655DC">
        <w:rPr>
          <w:iCs/>
          <w:noProof/>
          <w:sz w:val="16"/>
          <w:szCs w:val="16"/>
        </w:rPr>
        <w:instrText>0.00</w:instrText>
      </w:r>
      <w:r w:rsidRPr="004655DC" w:rsidR="002711D9">
        <w:rPr>
          <w:iCs/>
          <w:sz w:val="16"/>
          <w:szCs w:val="16"/>
        </w:rPr>
        <w:instrText xml:space="preserve"> &gt; 0 "</w:instrText>
      </w:r>
      <w:r w:rsidRPr="004655DC" w:rsidR="002711D9">
        <w:rPr>
          <w:sz w:val="16"/>
          <w:szCs w:val="16"/>
        </w:rPr>
        <w:instrText xml:space="preserve"> 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4655DC" w:rsidR="002711D9">
        <w:rPr>
          <w:sz w:val="16"/>
          <w:szCs w:val="16"/>
        </w:rPr>
        <w:fldChar w:fldCharType="begin"/>
      </w:r>
      <w:r w:rsidRPr="004655DC" w:rsidR="002711D9">
        <w:rPr>
          <w:sz w:val="16"/>
          <w:szCs w:val="16"/>
        </w:rPr>
        <w:instrText xml:space="preserve"> MERGEFIELD ASWBHOURSMax \# 0.0</w:instrText>
      </w:r>
      <w:r w:rsidRPr="004655DC" w:rsidR="0031221A">
        <w:rPr>
          <w:sz w:val="16"/>
          <w:szCs w:val="16"/>
        </w:rPr>
        <w:instrText>#</w:instrText>
      </w:r>
      <w:r w:rsidRPr="004655DC" w:rsidR="002711D9">
        <w:rPr>
          <w:sz w:val="16"/>
          <w:szCs w:val="16"/>
        </w:rPr>
        <w:instrText xml:space="preserve"> \* MERGEFORMAT </w:instrText>
      </w:r>
      <w:r w:rsidRPr="004655DC" w:rsidR="002711D9">
        <w:rPr>
          <w:sz w:val="16"/>
          <w:szCs w:val="16"/>
        </w:rPr>
        <w:fldChar w:fldCharType="separate"/>
      </w:r>
      <w:r w:rsidRPr="004655DC" w:rsidR="002711D9">
        <w:rPr>
          <w:noProof/>
          <w:sz w:val="16"/>
          <w:szCs w:val="16"/>
        </w:rPr>
        <w:instrText>«ASWBHOURSMax»</w:instrText>
      </w:r>
      <w:r w:rsidRPr="004655DC" w:rsidR="002711D9">
        <w:rPr>
          <w:sz w:val="16"/>
          <w:szCs w:val="16"/>
        </w:rPr>
        <w:fldChar w:fldCharType="end"/>
      </w:r>
      <w:r w:rsidRPr="004655DC" w:rsidR="002711D9">
        <w:rPr>
          <w:sz w:val="16"/>
          <w:szCs w:val="16"/>
        </w:rPr>
        <w:instrText xml:space="preserve"> continuing education credits.</w:instrText>
      </w:r>
    </w:p>
    <w:p w:rsidR="00571B99" w:rsidRPr="004655DC" w:rsidP="002711D9">
      <w:pPr>
        <w:rPr>
          <w:sz w:val="16"/>
          <w:szCs w:val="16"/>
        </w:rPr>
      </w:pPr>
    </w:p>
    <w:p w:rsidR="00571B99" w:rsidRPr="004655DC" w:rsidP="002711D9">
      <w:pPr>
        <w:rPr>
          <w:sz w:val="16"/>
          <w:szCs w:val="16"/>
        </w:rPr>
        <w:sectPr w:rsidSect="00571B99">
          <w:type w:val="continuous"/>
          <w:pgSz w:w="12240" w:h="15840"/>
          <w:pgMar w:top="720" w:right="720" w:bottom="720" w:left="720" w:header="720" w:footer="720" w:gutter="0"/>
          <w:cols w:space="144"/>
          <w:docGrid w:linePitch="326"/>
        </w:sectPr>
      </w:pPr>
    </w:p>
    <w:p w:rsidR="00571B99" w:rsidRPr="004655DC" w:rsidP="00571B9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2815">
        <w:rPr>
          <w:iCs/>
          <w:sz w:val="16"/>
          <w:szCs w:val="16"/>
        </w:rPr>
        <w:fldChar w:fldCharType="begin"/>
      </w:r>
      <w:r w:rsidRPr="004655DC" w:rsidR="00272815">
        <w:rPr>
          <w:iCs/>
          <w:sz w:val="16"/>
          <w:szCs w:val="16"/>
        </w:rPr>
        <w:instrText xml:space="preserve"> IF </w:instrText>
      </w:r>
      <w:r w:rsidR="004655DC">
        <w:rPr>
          <w:iCs/>
          <w:noProof/>
          <w:sz w:val="16"/>
          <w:szCs w:val="16"/>
        </w:rPr>
        <w:instrText>0.00</w:instrText>
      </w:r>
      <w:r w:rsidRPr="004655DC" w:rsidR="00272815">
        <w:rPr>
          <w:iCs/>
          <w:sz w:val="16"/>
          <w:szCs w:val="16"/>
        </w:rPr>
        <w:instrText xml:space="preserve"> </w:instrText>
      </w:r>
      <w:r w:rsidRPr="004655DC" w:rsidR="00B20291">
        <w:rPr>
          <w:iCs/>
          <w:sz w:val="16"/>
          <w:szCs w:val="16"/>
        </w:rPr>
        <w:instrText>&gt; 0 "</w:instrText>
      </w:r>
      <w:r w:rsidRPr="004655DC" w:rsidR="00B20291">
        <w:rPr>
          <w:noProof/>
        </w:rPr>
        <w:drawing>
          <wp:inline distT="0" distB="0" distL="0" distR="0">
            <wp:extent cx="668020" cy="279400"/>
            <wp:effectExtent l="0" t="0" r="508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668020" cy="279400"/>
                    </a:xfrm>
                    <a:prstGeom prst="rect">
                      <a:avLst/>
                    </a:prstGeom>
                  </pic:spPr>
                </pic:pic>
              </a:graphicData>
            </a:graphic>
          </wp:inline>
        </w:drawing>
      </w:r>
      <w:r w:rsidRPr="004655DC" w:rsidR="00B20291">
        <w:rPr>
          <w:iCs/>
          <w:sz w:val="16"/>
          <w:szCs w:val="16"/>
        </w:rPr>
        <w:br w:type="column"/>
      </w:r>
      <w:r w:rsidRPr="004655DC" w:rsidR="00B20291">
        <w:rPr>
          <w:sz w:val="16"/>
          <w:szCs w:val="16"/>
        </w:rPr>
        <w:instrText>Continuing Education (CE) credits for psychologists are provided through the co-sponsorship of the American Psychological Association            (APA) Office of Continuing Education in Psychology (CEP). The APA CEP Office maintains responsibly for the content of the programs.</w:instrText>
      </w:r>
    </w:p>
    <w:p w:rsidR="00571B99" w:rsidRPr="004655DC" w:rsidP="00571B99">
      <w:pPr>
        <w:rPr>
          <w:sz w:val="16"/>
          <w:szCs w:val="16"/>
        </w:rPr>
        <w:sectPr w:rsidSect="00571B99">
          <w:type w:val="continuous"/>
          <w:pgSz w:w="12240" w:h="15840"/>
          <w:pgMar w:top="720" w:right="720" w:bottom="720" w:left="720" w:header="720" w:footer="720" w:gutter="0"/>
          <w:cols w:num="2" w:space="144" w:equalWidth="0">
            <w:col w:w="1080" w:space="144"/>
            <w:col w:w="9576"/>
          </w:cols>
          <w:docGrid w:linePitch="326"/>
        </w:sectPr>
      </w:pPr>
    </w:p>
    <w:p w:rsidR="000D59D9" w:rsidP="00571B99">
      <w:pPr>
        <w:rPr>
          <w:iCs/>
          <w:sz w:val="16"/>
          <w:szCs w:val="16"/>
        </w:rPr>
      </w:pPr>
      <w:r w:rsidRPr="004655DC">
        <w:rPr>
          <w:iCs/>
          <w:sz w:val="16"/>
          <w:szCs w:val="16"/>
        </w:rPr>
        <w:instrText xml:space="preserve">" "" </w:instrText>
      </w:r>
      <w:r w:rsidRPr="004655DC" w:rsidR="00272815">
        <w:rPr>
          <w:iCs/>
          <w:sz w:val="16"/>
          <w:szCs w:val="16"/>
        </w:rPr>
        <w:instrText xml:space="preserve">\* MERGEFORMAT </w:instrText>
      </w:r>
      <w:r w:rsidRPr="004655DC" w:rsidR="00272815">
        <w:rPr>
          <w:iCs/>
          <w:sz w:val="16"/>
          <w:szCs w:val="16"/>
        </w:rPr>
        <w:fldChar w:fldCharType="separate"/>
      </w:r>
      <w:r w:rsidRPr="004655DC" w:rsidR="00272815">
        <w:rPr>
          <w:iCs/>
          <w:sz w:val="16"/>
          <w:szCs w:val="16"/>
        </w:rPr>
        <w:fldChar w:fldCharType="end"/>
      </w:r>
      <w:r>
        <w:rPr>
          <w:iCs/>
          <w:sz w:val="16"/>
          <w:szCs w:val="16"/>
        </w:rPr>
        <w:br w:type="page"/>
      </w:r>
    </w:p>
    <w:p w:rsidR="000D59D9" w:rsidP="000D59D9">
      <w:pPr>
        <w:jc w:val="center"/>
        <w:rPr>
          <w:b/>
          <w:bCs/>
          <w:sz w:val="22"/>
          <w:szCs w:val="22"/>
        </w:rPr>
      </w:pPr>
    </w:p>
    <w:p w:rsidR="000D59D9" w:rsidP="000D59D9">
      <w:pPr>
        <w:jc w:val="center"/>
        <w:rPr>
          <w:b/>
          <w:bCs/>
          <w:sz w:val="22"/>
          <w:szCs w:val="22"/>
        </w:rPr>
      </w:pPr>
      <w:r w:rsidRPr="005F118A">
        <w:rPr>
          <w:b/>
          <w:bCs/>
          <w:sz w:val="22"/>
          <w:szCs w:val="22"/>
        </w:rPr>
        <w:t>Disclosure of Relevant Financial Relationships and Unapproved Uses of Products</w:t>
      </w:r>
    </w:p>
    <w:p w:rsidR="000D59D9" w:rsidRPr="005F118A" w:rsidP="000D59D9">
      <w:pPr>
        <w:jc w:val="center"/>
        <w:rPr>
          <w:sz w:val="22"/>
          <w:szCs w:val="22"/>
        </w:rPr>
      </w:pPr>
    </w:p>
    <w:p w:rsidR="000D59D9" w:rsidP="000D59D9">
      <w:pPr>
        <w:rPr>
          <w:sz w:val="22"/>
          <w:szCs w:val="22"/>
        </w:rPr>
      </w:pPr>
      <w:r w:rsidRPr="005F118A">
        <w:rPr>
          <w:sz w:val="22"/>
          <w:szCs w:val="22"/>
        </w:rPr>
        <w:t xml:space="preserve">It is policy at </w:t>
      </w:r>
      <w:r>
        <w:rPr>
          <w:sz w:val="22"/>
          <w:szCs w:val="22"/>
        </w:rPr>
        <w:t>Nationwide Children’s Hospital</w:t>
      </w:r>
      <w:r w:rsidRPr="005F118A">
        <w:rPr>
          <w:sz w:val="22"/>
          <w:szCs w:val="22"/>
        </w:rPr>
        <w:t xml:space="preserve"> Office of Continuing Medical and Interprofessional Education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For this purpose, we consider relationships of the person involved to include financial relationships of a spouse or partner. </w:t>
      </w:r>
    </w:p>
    <w:p w:rsidR="000D59D9" w:rsidRPr="005F118A" w:rsidP="000D59D9">
      <w:pPr>
        <w:rPr>
          <w:sz w:val="22"/>
          <w:szCs w:val="22"/>
        </w:rPr>
      </w:pPr>
    </w:p>
    <w:p w:rsidR="000D59D9" w:rsidRPr="005F118A" w:rsidP="000D59D9">
      <w:pPr>
        <w:rPr>
          <w:sz w:val="22"/>
          <w:szCs w:val="22"/>
        </w:rPr>
      </w:pPr>
      <w:r w:rsidRPr="005F118A">
        <w:rPr>
          <w:sz w:val="22"/>
          <w:szCs w:val="22"/>
        </w:rPr>
        <w:t xml:space="preserve">The intent of this policy is to ensure that </w:t>
      </w:r>
      <w:r>
        <w:rPr>
          <w:sz w:val="22"/>
          <w:szCs w:val="22"/>
        </w:rPr>
        <w:t>Nationwide Children’s Hospital</w:t>
      </w:r>
      <w:r w:rsidRPr="005F118A">
        <w:rPr>
          <w:sz w:val="22"/>
          <w:szCs w:val="22"/>
        </w:rPr>
        <w:t xml:space="preserve"> CME/CE certified activities promote quality and safety, are effective in improving medical practice, are based on valid content, and are independent of control from commercial interests and free of commercial bias. Peer review of all content was conducted for all faculty presentations whose disclosure information was found to contain relationships that created a conflict of interest relevant to the topic of their presentation. In addition, all faculty were instructed to provide balanced, scientifically rigorous and evidence-based presentations. </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1; 4.3.2020</w:t>
      </w:r>
    </w:p>
    <w:sectPr w:rsidSect="00AD1536">
      <w:type w:val="continuous"/>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837">
    <w:pPr>
      <w:pStyle w:val="Footer"/>
    </w:pPr>
  </w:p>
  <w:p w:rsidR="00CD38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B300B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52706-CE73-48B7-BBED-C9E10030044D}">
  <ds:schemaRefs>
    <ds:schemaRef ds:uri="http://schemas.microsoft.com/sharepoint/v3/contenttype/forms"/>
  </ds:schemaRefs>
</ds:datastoreItem>
</file>

<file path=customXml/itemProps2.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4388</Characters>
  <Application>Microsoft Office Word</Application>
  <DocSecurity>0</DocSecurity>
  <Lines>199</Lines>
  <Paragraphs>48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3</cp:revision>
  <cp:lastPrinted>2017-09-26T17:04:00Z</cp:lastPrinted>
  <dcterms:created xsi:type="dcterms:W3CDTF">2020-10-30T13:50:00Z</dcterms:created>
  <dcterms:modified xsi:type="dcterms:W3CDTF">2020-11-02T14:54:00Z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