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The Initial</w:t>
      </w:r>
      <w:r>
        <w:rPr>
          <w:rFonts w:ascii="Garamond" w:hAnsi="Garamond"/>
          <w:bCs/>
        </w:rPr>
        <w:t xml:space="preserve"> Evaluation &amp; Management of Pediatric Seizures and Pediatric Status Epilepticus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June 22,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Kristen  Arredondo</w:t>
      </w:r>
      <w:r w:rsidRPr="003A5A15">
        <w:rPr>
          <w:rFonts w:ascii="Garamond" w:hAnsi="Garamond"/>
          <w:sz w:val="22"/>
          <w:szCs w:val="22"/>
        </w:rPr>
        <w:t>, MD</w:t>
      </w:r>
    </w:p>
    <w:p w:rsidRPr="003A5A15" w:rsidP="00736C76">
      <w:pPr>
        <w:ind w:left="360"/>
        <w:rPr>
          <w:rFonts w:ascii="Garamond" w:hAnsi="Garamond"/>
          <w:sz w:val="22"/>
          <w:szCs w:val="22"/>
        </w:rPr>
      </w:pPr>
      <w:r w:rsidRPr="003A5A15">
        <w:rPr>
          <w:rFonts w:ascii="Garamond" w:hAnsi="Garamond"/>
          <w:sz w:val="22"/>
          <w:szCs w:val="22"/>
        </w:rPr>
        <w:t>Jena  Busold, MSN, RN, CPN</w:t>
      </w:r>
    </w:p>
    <w:p w:rsidRPr="003A5A15" w:rsidP="00736C76">
      <w:pPr>
        <w:ind w:left="360"/>
        <w:rPr>
          <w:rFonts w:ascii="Garamond" w:hAnsi="Garamond"/>
          <w:sz w:val="22"/>
          <w:szCs w:val="22"/>
        </w:rPr>
      </w:pPr>
      <w:r w:rsidRPr="003A5A15">
        <w:rPr>
          <w:rFonts w:ascii="Garamond" w:hAnsi="Garamond"/>
          <w:sz w:val="22"/>
          <w:szCs w:val="22"/>
        </w:rPr>
        <w:t>Danna  Qunibi, MD</w:t>
      </w:r>
    </w:p>
    <w:p w:rsidRPr="003A5A15" w:rsidP="00736C76">
      <w:pPr>
        <w:ind w:left="360"/>
        <w:rPr>
          <w:rFonts w:ascii="Garamond" w:hAnsi="Garamond"/>
          <w:sz w:val="22"/>
          <w:szCs w:val="22"/>
        </w:rPr>
      </w:pPr>
      <w:r w:rsidRPr="003A5A15">
        <w:rPr>
          <w:rFonts w:ascii="Garamond" w:hAnsi="Garamond"/>
          <w:sz w:val="22"/>
          <w:szCs w:val="22"/>
        </w:rPr>
        <w:t>Luke W Vohsing, MBA, BSN RN</w:t>
      </w: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Jena Busold</w:t>
      </w:r>
      <w:r w:rsidRPr="009A4B51">
        <w:rPr>
          <w:rFonts w:ascii="Garamond" w:hAnsi="Garamond"/>
          <w:sz w:val="22"/>
          <w:szCs w:val="22"/>
        </w:rPr>
        <w:t xml:space="preserve">, MSN (Activity Administrator) </w:t>
      </w:r>
    </w:p>
    <w:p w:rsidRPr="009A4B51" w:rsidP="00736C76">
      <w:pPr>
        <w:ind w:left="360"/>
        <w:rPr>
          <w:rFonts w:ascii="Garamond" w:hAnsi="Garamond"/>
          <w:sz w:val="22"/>
          <w:szCs w:val="22"/>
        </w:rPr>
      </w:pPr>
      <w:r w:rsidRPr="009A4B51">
        <w:rPr>
          <w:rFonts w:ascii="Garamond" w:hAnsi="Garamond"/>
          <w:sz w:val="22"/>
          <w:szCs w:val="22"/>
        </w:rPr>
        <w:t xml:space="preserve">Luke Vohsing, MBA (Activity Administrator) </w:t>
      </w: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1 1.</w:t>
      </w:r>
      <w:r w:rsidRPr="003A5A15">
        <w:rPr>
          <w:rFonts w:ascii="Garamond" w:hAnsi="Garamond"/>
          <w:bCs/>
          <w:sz w:val="22"/>
          <w:szCs w:val="22"/>
        </w:rPr>
        <w:tab/>
        <w:t>List the criteria in diagnosing pediatric febrile seizures</w:t>
      </w:r>
    </w:p>
    <w:p w:rsidRPr="003A5A15" w:rsidP="00A83DCA">
      <w:pPr>
        <w:ind w:left="540" w:hanging="180"/>
        <w:rPr>
          <w:rFonts w:ascii="Garamond" w:hAnsi="Garamond"/>
          <w:bCs/>
          <w:sz w:val="22"/>
          <w:szCs w:val="22"/>
        </w:rPr>
      </w:pPr>
      <w:r w:rsidRPr="003A5A15">
        <w:rPr>
          <w:rFonts w:ascii="Garamond" w:hAnsi="Garamond"/>
          <w:bCs/>
          <w:sz w:val="22"/>
          <w:szCs w:val="22"/>
        </w:rPr>
        <w:t>2 2.</w:t>
        <w:tab/>
        <w:t>Compare and Contrast evaluation of pediatric febrile seizure vs a seizure in a febrile infant</w:t>
      </w:r>
    </w:p>
    <w:p w:rsidRPr="003A5A15" w:rsidP="00A83DCA">
      <w:pPr>
        <w:ind w:left="540" w:hanging="180"/>
        <w:rPr>
          <w:rFonts w:ascii="Garamond" w:hAnsi="Garamond"/>
          <w:bCs/>
          <w:sz w:val="22"/>
          <w:szCs w:val="22"/>
        </w:rPr>
      </w:pPr>
      <w:r w:rsidRPr="003A5A15">
        <w:rPr>
          <w:rFonts w:ascii="Garamond" w:hAnsi="Garamond"/>
          <w:bCs/>
          <w:sz w:val="22"/>
          <w:szCs w:val="22"/>
        </w:rPr>
        <w:t>3 3.</w:t>
        <w:tab/>
        <w:t>Determine the type of medications, correct doses and timing of administration for a pediatric seizure and for pediatric status epilepticus</w:t>
      </w:r>
    </w:p>
    <w:p w:rsidRPr="003A5A15" w:rsidP="00A83DCA">
      <w:pPr>
        <w:ind w:left="540" w:hanging="180"/>
        <w:rPr>
          <w:rFonts w:ascii="Garamond" w:hAnsi="Garamond"/>
          <w:bCs/>
          <w:sz w:val="22"/>
          <w:szCs w:val="22"/>
        </w:rPr>
      </w:pPr>
      <w:r w:rsidRPr="003A5A15">
        <w:rPr>
          <w:rFonts w:ascii="Garamond" w:hAnsi="Garamond"/>
          <w:bCs/>
          <w:sz w:val="22"/>
          <w:szCs w:val="22"/>
        </w:rPr>
        <w:t>4 4.</w:t>
        <w:tab/>
        <w:t>Choose when referral to pediatric neurology is needed</w:t>
      </w:r>
    </w:p>
    <w:p w:rsidR="006A4A00" w:rsidRPr="003A5A15" w:rsidP="00A83DCA">
      <w:pPr>
        <w:ind w:left="540" w:hanging="180"/>
        <w:rPr>
          <w:rFonts w:ascii="Garamond" w:hAnsi="Garamond"/>
          <w:bCs/>
          <w:sz w:val="22"/>
          <w:szCs w:val="22"/>
        </w:rPr>
      </w:pPr>
      <w:r w:rsidRPr="003A5A15">
        <w:rPr>
          <w:rFonts w:ascii="Garamond" w:hAnsi="Garamond"/>
          <w:bCs/>
          <w:sz w:val="22"/>
          <w:szCs w:val="22"/>
        </w:rPr>
        <w:t>5 5.</w:t>
        <w:tab/>
        <w:t>Select when a prescription for rescue benzodiazepine should be prescribed</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