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8</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October 26,</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BARBARA K</w:t>
      </w:r>
      <w:r w:rsidRPr="003A5A15">
        <w:rPr>
          <w:rFonts w:ascii="Garamond" w:hAnsi="Garamond"/>
          <w:sz w:val="22"/>
          <w:szCs w:val="22"/>
        </w:rPr>
        <w:t xml:space="preserve"> MACKINAW-KOONS,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Train</w:t>
      </w:r>
      <w:r w:rsidRPr="003A5A15">
        <w:rPr>
          <w:rFonts w:ascii="Garamond" w:hAnsi="Garamond"/>
          <w:bCs/>
          <w:sz w:val="22"/>
          <w:szCs w:val="22"/>
        </w:rPr>
        <w:t xml:space="preserve"> effective parental requests</w:t>
      </w:r>
    </w:p>
    <w:p w:rsidR="006A4A00" w:rsidRPr="003A5A15" w:rsidP="00A83DCA">
      <w:pPr>
        <w:ind w:left="540" w:hanging="180"/>
        <w:rPr>
          <w:rFonts w:ascii="Garamond" w:hAnsi="Garamond"/>
          <w:bCs/>
          <w:sz w:val="22"/>
          <w:szCs w:val="22"/>
        </w:rPr>
      </w:pPr>
      <w:r w:rsidRPr="003A5A15">
        <w:rPr>
          <w:rFonts w:ascii="Garamond" w:hAnsi="Garamond"/>
          <w:bCs/>
          <w:sz w:val="22"/>
          <w:szCs w:val="22"/>
        </w:rPr>
        <w:t>2 Train the use of guided compliance to enhance compliance and manage noncompliant behavior</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04381724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