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RUBI</w:t>
      </w:r>
      <w:r>
        <w:rPr>
          <w:rFonts w:ascii="Garamond" w:hAnsi="Garamond"/>
          <w:bCs/>
        </w:rPr>
        <w:t xml:space="preserve"> The Network 2021 Session 7</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October 12,</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Kevin G</w:t>
      </w:r>
      <w:r w:rsidRPr="003A5A15">
        <w:rPr>
          <w:rFonts w:ascii="Garamond" w:hAnsi="Garamond"/>
          <w:sz w:val="22"/>
          <w:szCs w:val="22"/>
        </w:rPr>
        <w:t xml:space="preserve"> Stephenson, PhD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BSPH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Summarize</w:t>
      </w:r>
      <w:r w:rsidRPr="003A5A15">
        <w:rPr>
          <w:rFonts w:ascii="Garamond" w:hAnsi="Garamond"/>
          <w:bCs/>
          <w:sz w:val="22"/>
          <w:szCs w:val="22"/>
        </w:rPr>
        <w:t xml:space="preserve"> systematic use of extinction to reduce behavior problems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0</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sz w:val="16"/>
          <w:szCs w:val="16"/>
        </w:rPr>
        <w:fldChar w:fldCharType="begin"/>
      </w:r>
      <w:r w:rsidRPr="004655DC" w:rsidR="004623EE">
        <w:rPr>
          <w:sz w:val="16"/>
          <w:szCs w:val="16"/>
        </w:rPr>
        <w:instrText xml:space="preserve"> MERGEFIELD ANCCHOURSMax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ACPEHOURSMax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AMAHOURSMax \* MERGEFORMAT </w:instrText>
      </w:r>
      <w:r w:rsidRPr="004655DC" w:rsidR="00CF3DA5">
        <w:rPr>
          <w:sz w:val="16"/>
          <w:szCs w:val="16"/>
        </w:rPr>
        <w:fldChar w:fldCharType="separate"/>
      </w:r>
      <w:r w:rsidRPr="004655DC" w:rsidR="00CF3DA5">
        <w:rPr>
          <w:noProof/>
          <w:sz w:val="16"/>
          <w:szCs w:val="16"/>
        </w:rPr>
        <w:instrText>«AMAHOURSMax»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548781336"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