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2021 NCH</w:t>
      </w:r>
      <w:r>
        <w:rPr>
          <w:rFonts w:ascii="Garamond" w:hAnsi="Garamond"/>
          <w:bCs/>
        </w:rPr>
        <w:t xml:space="preserve"> APP Conference Enduring Lecture Birth-control prescribing in the primary care setting - Truths and Myths</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June 11,</w:t>
      </w:r>
      <w:r>
        <w:rPr>
          <w:rFonts w:ascii="Garamond" w:hAnsi="Garamond"/>
          <w:bCs/>
        </w:rPr>
        <w:t xml:space="preserve"> 2021 - 12:00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Amber  Essman</w:t>
      </w:r>
      <w:r w:rsidRPr="003A5A15">
        <w:rPr>
          <w:rFonts w:ascii="Garamond" w:hAnsi="Garamond"/>
          <w:sz w:val="22"/>
          <w:szCs w:val="22"/>
        </w:rPr>
        <w:t>, DNP, FNP-BC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Courtney Bishop</w:t>
      </w:r>
      <w:r w:rsidRPr="009A4B51">
        <w:rPr>
          <w:rFonts w:ascii="Garamond" w:hAnsi="Garamond"/>
          <w:sz w:val="22"/>
          <w:szCs w:val="22"/>
        </w:rPr>
        <w:t>, PA-C (Course Director)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Learners</w:t>
      </w:r>
      <w:r w:rsidRPr="003A5A15">
        <w:rPr>
          <w:rFonts w:ascii="Garamond" w:hAnsi="Garamond"/>
          <w:bCs/>
          <w:sz w:val="22"/>
          <w:szCs w:val="22"/>
        </w:rPr>
        <w:t xml:space="preserve"> will obtain knowledge of birthcontrol prescribing in the adolescent population. </w:t>
      </w:r>
    </w:p>
    <w:p w:rsidRPr="003A5A15" w:rsidP="00A83DCA">
      <w:pPr>
        <w:ind w:left="540" w:hanging="180"/>
        <w:rPr>
          <w:rFonts w:ascii="Garamond" w:hAnsi="Garamond"/>
          <w:bCs/>
          <w:sz w:val="22"/>
          <w:szCs w:val="22"/>
        </w:rPr>
      </w:pPr>
      <w:r w:rsidRPr="003A5A15">
        <w:rPr>
          <w:rFonts w:ascii="Garamond" w:hAnsi="Garamond"/>
          <w:bCs/>
          <w:sz w:val="22"/>
          <w:szCs w:val="22"/>
        </w:rPr>
        <w:t xml:space="preserve">2 Learners will obtain knowlege of pharmacological considerations for a variety of birthcontrol options for adolescents. </w:t>
      </w:r>
    </w:p>
    <w:p w:rsidR="006A4A00" w:rsidRPr="003A5A15" w:rsidP="00A83DCA">
      <w:pPr>
        <w:ind w:left="540" w:hanging="180"/>
        <w:rPr>
          <w:rFonts w:ascii="Garamond" w:hAnsi="Garamond"/>
          <w:bCs/>
          <w:sz w:val="22"/>
          <w:szCs w:val="22"/>
        </w:rPr>
      </w:pPr>
      <w:r w:rsidRPr="003A5A15">
        <w:rPr>
          <w:rFonts w:ascii="Garamond" w:hAnsi="Garamond"/>
          <w:bCs/>
          <w:sz w:val="22"/>
          <w:szCs w:val="22"/>
        </w:rPr>
        <w:t xml:space="preserve">3 Learners will obtain knowlege of indications and contraindications of various types of birthcontrol options in the primary care setting. </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1</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26211407"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