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RUBI</w:t>
      </w:r>
      <w:r>
        <w:rPr>
          <w:rFonts w:ascii="Garamond" w:hAnsi="Garamond"/>
          <w:bCs/>
        </w:rPr>
        <w:t xml:space="preserve"> The Network 2021 Session 1</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July 13,</w:t>
      </w:r>
      <w:r>
        <w:rPr>
          <w:rFonts w:ascii="Garamond" w:hAnsi="Garamond"/>
          <w:bCs/>
        </w:rPr>
        <w:t xml:space="preserve"> 2021 - 11:00 AM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Eric                                 Butter</w:t>
      </w:r>
      <w:r w:rsidRPr="003A5A15">
        <w:rPr>
          <w:rFonts w:ascii="Garamond" w:hAnsi="Garamond"/>
          <w:sz w:val="22"/>
          <w:szCs w:val="22"/>
        </w:rPr>
        <w:t xml:space="preserve">                             , Psychologist Disclosure(s) - Royalty-Oxford University Publisher</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BSPH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Erin Given, 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BA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Discuss</w:t>
      </w:r>
      <w:r w:rsidRPr="003A5A15">
        <w:rPr>
          <w:rFonts w:ascii="Garamond" w:hAnsi="Garamond"/>
          <w:bCs/>
          <w:sz w:val="22"/>
          <w:szCs w:val="22"/>
        </w:rPr>
        <w:t xml:space="preserve"> the rationale for parent training as a front-line treatment for youth with autism</w:t>
      </w:r>
    </w:p>
    <w:p w:rsidRPr="003A5A15" w:rsidP="00A83DCA">
      <w:pPr>
        <w:ind w:left="540" w:hanging="180"/>
        <w:rPr>
          <w:rFonts w:ascii="Garamond" w:hAnsi="Garamond"/>
          <w:bCs/>
          <w:sz w:val="22"/>
          <w:szCs w:val="22"/>
        </w:rPr>
      </w:pPr>
      <w:r w:rsidRPr="003A5A15">
        <w:rPr>
          <w:rFonts w:ascii="Garamond" w:hAnsi="Garamond"/>
          <w:bCs/>
          <w:sz w:val="22"/>
          <w:szCs w:val="22"/>
        </w:rPr>
        <w:t>2 Review the development of the RUBI program</w:t>
      </w:r>
    </w:p>
    <w:p w:rsidRPr="003A5A15" w:rsidP="00A83DCA">
      <w:pPr>
        <w:ind w:left="540" w:hanging="180"/>
        <w:rPr>
          <w:rFonts w:ascii="Garamond" w:hAnsi="Garamond"/>
          <w:bCs/>
          <w:sz w:val="22"/>
          <w:szCs w:val="22"/>
        </w:rPr>
      </w:pPr>
      <w:r w:rsidRPr="003A5A15">
        <w:rPr>
          <w:rFonts w:ascii="Garamond" w:hAnsi="Garamond"/>
          <w:bCs/>
          <w:sz w:val="22"/>
          <w:szCs w:val="22"/>
        </w:rPr>
        <w:t>3 Summarize the content and delivery of the RUBI program</w:t>
      </w:r>
    </w:p>
    <w:p w:rsidR="006A4A00" w:rsidRPr="003A5A15" w:rsidP="00A83DCA">
      <w:pPr>
        <w:ind w:left="540" w:hanging="180"/>
        <w:rPr>
          <w:rFonts w:ascii="Garamond" w:hAnsi="Garamond"/>
          <w:bCs/>
          <w:sz w:val="22"/>
          <w:szCs w:val="22"/>
        </w:rPr>
      </w:pPr>
      <w:r w:rsidRPr="003A5A15">
        <w:rPr>
          <w:rFonts w:ascii="Garamond" w:hAnsi="Garamond"/>
          <w:bCs/>
          <w:sz w:val="22"/>
          <w:szCs w:val="22"/>
        </w:rPr>
        <w:t>4 Integrate RUBI into clinical practice</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0</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sz w:val="16"/>
          <w:szCs w:val="16"/>
        </w:rPr>
        <w:fldChar w:fldCharType="begin"/>
      </w:r>
      <w:r w:rsidRPr="004655DC" w:rsidR="004623EE">
        <w:rPr>
          <w:sz w:val="16"/>
          <w:szCs w:val="16"/>
        </w:rPr>
        <w:instrText xml:space="preserve"> MERGEFIELD ANCCHOURSMax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ACPEHOURSMax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AMAHOURSMax \* MERGEFORMAT </w:instrText>
      </w:r>
      <w:r w:rsidRPr="004655DC" w:rsidR="00CF3DA5">
        <w:rPr>
          <w:sz w:val="16"/>
          <w:szCs w:val="16"/>
        </w:rPr>
        <w:fldChar w:fldCharType="separate"/>
      </w:r>
      <w:r w:rsidRPr="004655DC" w:rsidR="00CF3DA5">
        <w:rPr>
          <w:noProof/>
          <w:sz w:val="16"/>
          <w:szCs w:val="16"/>
        </w:rPr>
        <w:instrText>«AMAHOURSMax»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2460085"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