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Communicating Medicine</w:t>
      </w:r>
      <w:r>
        <w:rPr>
          <w:rFonts w:ascii="Garamond" w:hAnsi="Garamond"/>
          <w:bCs/>
        </w:rPr>
        <w:t>:  Practicing Evidence Based Medicine in an Online World</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May 14,</w:t>
      </w:r>
      <w:r>
        <w:rPr>
          <w:rFonts w:ascii="Garamond" w:hAnsi="Garamond"/>
          <w:bCs/>
        </w:rPr>
        <w:t xml:space="preserve"> 2021 - 9:00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Nicole  Baldwin</w:t>
      </w:r>
      <w:r w:rsidRPr="003A5A15">
        <w:rPr>
          <w:rFonts w:ascii="Garamond" w:hAnsi="Garamond"/>
          <w:sz w:val="22"/>
          <w:szCs w:val="22"/>
        </w:rPr>
        <w:t>,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Orville  Bignall,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 xml:space="preserve">Tim  Caulfield, JD Disclosure(s) - Speakers Bureau-Speakers' Spotlight </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Katelyn  Hanzel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Diane  Lang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Kelly  McDonald, MBA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Sarah  Mojarad, MS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Michael  Patrick,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Abbie  Roth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David   Stukus, MD Disclosure(s) - Consulting Fee-DBV Technologies,Consulting Fee-Before Brands,Royalty-Springer Publishing</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Tracy  Townsend, BA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Callista Dammann</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Jody Ganschinietz (Activity Administrator)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Kelly Hallberg, MBA (Activity Coordinator)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Katelyn Hanzel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Diane Lang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Michael Patrick, MD (Co-Director)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Randall-McSorley, EdD (Activity Administrator)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David  Stukus, MD (Co-Director)  Disclosure(s) - Consulting Fee-DBV Technologies,Consulting Fee-Before Brands,Royalty-Springer Publishing</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Desta Zerayesus, Education Coordinator (Activity Coordinator)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Utilize</w:t>
      </w:r>
      <w:r w:rsidRPr="003A5A15">
        <w:rPr>
          <w:rFonts w:ascii="Garamond" w:hAnsi="Garamond"/>
          <w:bCs/>
          <w:sz w:val="22"/>
          <w:szCs w:val="22"/>
        </w:rPr>
        <w:t xml:space="preserve"> social media to discuss topics that impact patients</w:t>
      </w:r>
    </w:p>
    <w:p w:rsidRPr="003A5A15" w:rsidP="00A83DCA">
      <w:pPr>
        <w:ind w:left="540" w:hanging="180"/>
        <w:rPr>
          <w:rFonts w:ascii="Garamond" w:hAnsi="Garamond"/>
          <w:bCs/>
          <w:sz w:val="22"/>
          <w:szCs w:val="22"/>
        </w:rPr>
      </w:pPr>
      <w:r w:rsidRPr="003A5A15">
        <w:rPr>
          <w:rFonts w:ascii="Garamond" w:hAnsi="Garamond"/>
          <w:bCs/>
          <w:sz w:val="22"/>
          <w:szCs w:val="22"/>
        </w:rPr>
        <w:t>2 Maintain patient privacy while using social media</w:t>
      </w:r>
    </w:p>
    <w:p w:rsidR="006A4A00" w:rsidRPr="003A5A15" w:rsidP="00A83DCA">
      <w:pPr>
        <w:ind w:left="540" w:hanging="180"/>
        <w:rPr>
          <w:rFonts w:ascii="Garamond" w:hAnsi="Garamond"/>
          <w:bCs/>
          <w:sz w:val="22"/>
          <w:szCs w:val="22"/>
        </w:rPr>
      </w:pPr>
      <w:r w:rsidRPr="003A5A15">
        <w:rPr>
          <w:rFonts w:ascii="Garamond" w:hAnsi="Garamond"/>
          <w:bCs/>
          <w:sz w:val="22"/>
          <w:szCs w:val="22"/>
        </w:rPr>
        <w:t>3 Broaden online presence through a variety of methods, including social media, blogs, and podcasts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4.50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4.50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4.50</w:instrText>
      </w:r>
      <w:r w:rsidRPr="004655DC" w:rsidR="004623EE">
        <w:rPr>
          <w:sz w:val="16"/>
          <w:szCs w:val="16"/>
        </w:rPr>
        <w:instrText xml:space="preserve"> &gt; 0 "</w:instrText>
      </w:r>
      <w:r w:rsidRPr="004655DC" w:rsidR="004623EE">
        <w:rPr>
          <w:noProof/>
          <w:sz w:val="16"/>
          <w:szCs w:val="16"/>
        </w:rPr>
        <w:instrText>4.5</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4.5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4.50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4.50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4.5</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4.5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4.5 ANCC contact hours</w:t>
      </w:r>
      <w:r w:rsidRPr="004655DC" w:rsidR="00CF3DA5">
        <w:rPr>
          <w:noProof/>
          <w:sz w:val="16"/>
          <w:szCs w:val="16"/>
        </w:rPr>
        <w:t>; 4.5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