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Partners for</w:t>
      </w:r>
      <w:r>
        <w:rPr>
          <w:rFonts w:ascii="Garamond" w:hAnsi="Garamond"/>
          <w:bCs/>
        </w:rPr>
        <w:t xml:space="preserve"> Kids-Behavioral Health Community Education Series: Working with Medically Complex Children</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November 3,</w:t>
      </w:r>
      <w:r>
        <w:rPr>
          <w:rFonts w:ascii="Garamond" w:hAnsi="Garamond"/>
          <w:bCs/>
        </w:rPr>
        <w:t xml:space="preserve"> 2021 - 9:00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Robert  Dempster</w:t>
      </w:r>
      <w:r w:rsidRPr="003A5A15">
        <w:rPr>
          <w:rFonts w:ascii="Garamond" w:hAnsi="Garamond"/>
          <w:sz w:val="22"/>
          <w:szCs w:val="22"/>
        </w:rPr>
        <w:t>, PhD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 xml:space="preserve">Natalie                             P Truba                              , Psychologist Disclosure(s) - honoraria-PTC Therapeutics </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Alexander Bishara</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Pam Edson, VP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Haley Johnson, B.S.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Ujjwal Ramtekkar, MD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Jennifer Reese, PsyD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Review</w:t>
      </w:r>
      <w:r w:rsidRPr="003A5A15">
        <w:rPr>
          <w:rFonts w:ascii="Garamond" w:hAnsi="Garamond"/>
          <w:bCs/>
          <w:sz w:val="22"/>
          <w:szCs w:val="22"/>
        </w:rPr>
        <w:t xml:space="preserve"> models of understanding children with complex medical needs.</w:t>
      </w:r>
    </w:p>
    <w:p w:rsidRPr="003A5A15" w:rsidP="00A83DCA">
      <w:pPr>
        <w:ind w:left="540" w:hanging="180"/>
        <w:rPr>
          <w:rFonts w:ascii="Garamond" w:hAnsi="Garamond"/>
          <w:bCs/>
          <w:sz w:val="22"/>
          <w:szCs w:val="22"/>
        </w:rPr>
      </w:pPr>
      <w:r w:rsidRPr="003A5A15">
        <w:rPr>
          <w:rFonts w:ascii="Garamond" w:hAnsi="Garamond"/>
          <w:bCs/>
          <w:sz w:val="22"/>
          <w:szCs w:val="22"/>
        </w:rPr>
        <w:t>2 Discuss ways to prioritize treatment goals when a variety of needs are present.</w:t>
      </w:r>
    </w:p>
    <w:p w:rsidRPr="003A5A15" w:rsidP="00A83DCA">
      <w:pPr>
        <w:ind w:left="540" w:hanging="180"/>
        <w:rPr>
          <w:rFonts w:ascii="Garamond" w:hAnsi="Garamond"/>
          <w:bCs/>
          <w:sz w:val="22"/>
          <w:szCs w:val="22"/>
        </w:rPr>
      </w:pPr>
      <w:r w:rsidRPr="003A5A15">
        <w:rPr>
          <w:rFonts w:ascii="Garamond" w:hAnsi="Garamond"/>
          <w:bCs/>
          <w:sz w:val="22"/>
          <w:szCs w:val="22"/>
        </w:rPr>
        <w:t>3 Understand the problem areas that most commonly arise in children with complex medical needs.</w:t>
      </w:r>
    </w:p>
    <w:p w:rsidR="006A4A00" w:rsidRPr="003A5A15" w:rsidP="00A83DCA">
      <w:pPr>
        <w:ind w:left="540" w:hanging="180"/>
        <w:rPr>
          <w:rFonts w:ascii="Garamond" w:hAnsi="Garamond"/>
          <w:bCs/>
          <w:sz w:val="22"/>
          <w:szCs w:val="22"/>
        </w:rPr>
      </w:pPr>
      <w:r w:rsidRPr="003A5A15">
        <w:rPr>
          <w:rFonts w:ascii="Garamond" w:hAnsi="Garamond"/>
          <w:bCs/>
          <w:sz w:val="22"/>
          <w:szCs w:val="22"/>
        </w:rPr>
        <w:t>4 Apply the strategies learned to case examples and discuss participant cases.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3.00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3.00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3.00</w:instrText>
      </w:r>
      <w:r w:rsidRPr="004655DC" w:rsidR="004623EE">
        <w:rPr>
          <w:sz w:val="16"/>
          <w:szCs w:val="16"/>
        </w:rPr>
        <w:instrText xml:space="preserve"> &gt; 0 "</w:instrText>
      </w:r>
      <w:r w:rsidRPr="004655DC" w:rsidR="004623EE">
        <w:rPr>
          <w:noProof/>
          <w:sz w:val="16"/>
          <w:szCs w:val="16"/>
        </w:rPr>
        <w:instrText>3.0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3.0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3.00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3.00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3.0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3.0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3.0 ANCC contact hours</w:t>
      </w:r>
      <w:r w:rsidRPr="004655DC" w:rsidR="00CF3DA5">
        <w:rPr>
          <w:noProof/>
          <w:sz w:val="16"/>
          <w:szCs w:val="16"/>
        </w:rPr>
        <w:t>; 3.0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3.00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3.0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3.0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3.00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568654258"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