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FEEDING</w:t>
      </w:r>
      <w:r>
        <w:rPr>
          <w:rFonts w:ascii="Garamond" w:hAnsi="Garamond"/>
          <w:bCs/>
        </w:rPr>
        <w:t xml:space="preserve"> 2021 Session 7</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April 12,</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Robert  Dempster</w:t>
      </w:r>
      <w:r w:rsidRPr="003A5A15">
        <w:rPr>
          <w:rFonts w:ascii="Garamond" w:hAnsi="Garamond"/>
          <w:sz w:val="22"/>
          <w:szCs w:val="22"/>
        </w:rPr>
        <w:t>, PhD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Lauren  Garbacz,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Examine</w:t>
      </w:r>
      <w:r w:rsidRPr="003A5A15">
        <w:rPr>
          <w:rFonts w:ascii="Garamond" w:hAnsi="Garamond"/>
          <w:bCs/>
          <w:sz w:val="22"/>
          <w:szCs w:val="22"/>
        </w:rPr>
        <w:t xml:space="preserve"> the symptoms and diagnostic criteria for Avoidant and Restrictive Food Intake Disorder</w:t>
      </w:r>
    </w:p>
    <w:p w:rsidRPr="003A5A15" w:rsidP="00A83DCA">
      <w:pPr>
        <w:ind w:left="540" w:hanging="180"/>
        <w:rPr>
          <w:rFonts w:ascii="Garamond" w:hAnsi="Garamond"/>
          <w:bCs/>
          <w:sz w:val="22"/>
          <w:szCs w:val="22"/>
        </w:rPr>
      </w:pPr>
      <w:r w:rsidRPr="003A5A15">
        <w:rPr>
          <w:rFonts w:ascii="Garamond" w:hAnsi="Garamond"/>
          <w:bCs/>
          <w:sz w:val="22"/>
          <w:szCs w:val="22"/>
        </w:rPr>
        <w:t>2 Infer when to refer for behavioral intervention</w:t>
      </w:r>
    </w:p>
    <w:p w:rsidRPr="003A5A15" w:rsidP="00A83DCA">
      <w:pPr>
        <w:ind w:left="540" w:hanging="180"/>
        <w:rPr>
          <w:rFonts w:ascii="Garamond" w:hAnsi="Garamond"/>
          <w:bCs/>
          <w:sz w:val="22"/>
          <w:szCs w:val="22"/>
        </w:rPr>
      </w:pPr>
      <w:r w:rsidRPr="003A5A15">
        <w:rPr>
          <w:rFonts w:ascii="Garamond" w:hAnsi="Garamond"/>
          <w:bCs/>
          <w:sz w:val="22"/>
          <w:szCs w:val="22"/>
        </w:rPr>
        <w:t>3 Explore treatment strategies for ARFID and picky eating</w:t>
      </w:r>
    </w:p>
    <w:p w:rsidRPr="003A5A15" w:rsidP="00A83DCA">
      <w:pPr>
        <w:ind w:left="540" w:hanging="180"/>
        <w:rPr>
          <w:rFonts w:ascii="Garamond" w:hAnsi="Garamond"/>
          <w:bCs/>
          <w:sz w:val="22"/>
          <w:szCs w:val="22"/>
        </w:rPr>
      </w:pPr>
      <w:r w:rsidRPr="003A5A15">
        <w:rPr>
          <w:rFonts w:ascii="Garamond" w:hAnsi="Garamond"/>
          <w:bCs/>
          <w:sz w:val="22"/>
          <w:szCs w:val="22"/>
        </w:rPr>
        <w:t>4 Describe the basic caregiver education regarding picky eating</w:t>
      </w:r>
    </w:p>
    <w:p w:rsidR="006A4A00" w:rsidRPr="003A5A15" w:rsidP="00A83DCA">
      <w:pPr>
        <w:ind w:left="540" w:hanging="180"/>
        <w:rPr>
          <w:rFonts w:ascii="Garamond" w:hAnsi="Garamond"/>
          <w:bCs/>
          <w:sz w:val="22"/>
          <w:szCs w:val="22"/>
        </w:rPr>
      </w:pPr>
      <w:r w:rsidRPr="003A5A15">
        <w:rPr>
          <w:rFonts w:ascii="Garamond" w:hAnsi="Garamond"/>
          <w:bCs/>
          <w:sz w:val="22"/>
          <w:szCs w:val="22"/>
        </w:rPr>
        <w:t>5 Understand the cultural and biopsychosocial considerations in psychological and behavioral management of feeding disorders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950605936"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677606702"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