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FEEDING</w:t>
      </w:r>
      <w:r>
        <w:rPr>
          <w:rFonts w:ascii="Garamond" w:hAnsi="Garamond"/>
          <w:bCs/>
        </w:rPr>
        <w:t xml:space="preserve"> 2021 Session 6</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March 22,</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Maureen  Hockaday</w:t>
      </w:r>
      <w:r w:rsidRPr="003A5A15">
        <w:rPr>
          <w:rFonts w:ascii="Garamond" w:hAnsi="Garamond"/>
          <w:sz w:val="22"/>
          <w:szCs w:val="22"/>
        </w:rPr>
        <w:t>, MA, CCC-SLP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xml:space="preserv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Describe</w:t>
      </w:r>
      <w:r w:rsidRPr="003A5A15">
        <w:rPr>
          <w:rFonts w:ascii="Garamond" w:hAnsi="Garamond"/>
          <w:bCs/>
          <w:sz w:val="22"/>
          <w:szCs w:val="22"/>
        </w:rPr>
        <w:t xml:space="preserve"> normal swallowing function</w:t>
      </w:r>
    </w:p>
    <w:p w:rsidRPr="003A5A15" w:rsidP="00A83DCA">
      <w:pPr>
        <w:ind w:left="540" w:hanging="180"/>
        <w:rPr>
          <w:rFonts w:ascii="Garamond" w:hAnsi="Garamond"/>
          <w:bCs/>
          <w:sz w:val="22"/>
          <w:szCs w:val="22"/>
        </w:rPr>
      </w:pPr>
      <w:r w:rsidRPr="003A5A15">
        <w:rPr>
          <w:rFonts w:ascii="Garamond" w:hAnsi="Garamond"/>
          <w:bCs/>
          <w:sz w:val="22"/>
          <w:szCs w:val="22"/>
        </w:rPr>
        <w:t>2 Explore the clinical signs of aspiration</w:t>
      </w:r>
    </w:p>
    <w:p w:rsidRPr="003A5A15" w:rsidP="00A83DCA">
      <w:pPr>
        <w:ind w:left="540" w:hanging="180"/>
        <w:rPr>
          <w:rFonts w:ascii="Garamond" w:hAnsi="Garamond"/>
          <w:bCs/>
          <w:sz w:val="22"/>
          <w:szCs w:val="22"/>
        </w:rPr>
      </w:pPr>
      <w:r w:rsidRPr="003A5A15">
        <w:rPr>
          <w:rFonts w:ascii="Garamond" w:hAnsi="Garamond"/>
          <w:bCs/>
          <w:sz w:val="22"/>
          <w:szCs w:val="22"/>
        </w:rPr>
        <w:t>3 Infer when to refer for objective assessment (VSS, FEES)</w:t>
      </w:r>
    </w:p>
    <w:p w:rsidRPr="003A5A15" w:rsidP="00A83DCA">
      <w:pPr>
        <w:ind w:left="540" w:hanging="180"/>
        <w:rPr>
          <w:rFonts w:ascii="Garamond" w:hAnsi="Garamond"/>
          <w:bCs/>
          <w:sz w:val="22"/>
          <w:szCs w:val="22"/>
        </w:rPr>
      </w:pPr>
      <w:r w:rsidRPr="003A5A15">
        <w:rPr>
          <w:rFonts w:ascii="Garamond" w:hAnsi="Garamond"/>
          <w:bCs/>
          <w:sz w:val="22"/>
          <w:szCs w:val="22"/>
        </w:rPr>
        <w:t>4 Articulate the risks and benefits of thickening</w:t>
      </w:r>
    </w:p>
    <w:p w:rsidR="006A4A00" w:rsidRPr="003A5A15" w:rsidP="00A83DCA">
      <w:pPr>
        <w:ind w:left="540" w:hanging="180"/>
        <w:rPr>
          <w:rFonts w:ascii="Garamond" w:hAnsi="Garamond"/>
          <w:bCs/>
          <w:sz w:val="22"/>
          <w:szCs w:val="22"/>
        </w:rPr>
      </w:pPr>
      <w:r w:rsidRPr="003A5A15">
        <w:rPr>
          <w:rFonts w:ascii="Garamond" w:hAnsi="Garamond"/>
          <w:bCs/>
          <w:sz w:val="22"/>
          <w:szCs w:val="22"/>
        </w:rPr>
        <w:t>5 Understand the cultural and socioeconomic considerations that may influence the therapy process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1.00</w:instrText>
      </w:r>
      <w:r w:rsidRPr="004655DC" w:rsidR="004623EE">
        <w:rPr>
          <w:sz w:val="16"/>
          <w:szCs w:val="16"/>
        </w:rPr>
        <w:instrText xml:space="preserve"> &gt; 0 "</w:instrText>
      </w:r>
      <w:r w:rsidRPr="004655DC" w:rsidR="004623EE">
        <w:rPr>
          <w:noProof/>
          <w:sz w:val="16"/>
          <w:szCs w:val="16"/>
        </w:rPr>
        <w:instrText>1.0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1.0 ANCC contact hours</w:t>
      </w:r>
      <w:r w:rsidRPr="004655DC" w:rsidR="00CF3DA5">
        <w:rPr>
          <w:noProof/>
          <w:sz w:val="16"/>
          <w:szCs w:val="16"/>
        </w:rPr>
        <w:t>; 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1.00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1.0</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1.0</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1918576927"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668072753"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