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FEEDING</w:t>
      </w:r>
      <w:r>
        <w:rPr>
          <w:rFonts w:ascii="Garamond" w:hAnsi="Garamond"/>
          <w:bCs/>
        </w:rPr>
        <w:t xml:space="preserve"> 2021 Session 4</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February 22,</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Lauren  Rosenston</w:t>
      </w:r>
      <w:r w:rsidRPr="003A5A15">
        <w:rPr>
          <w:rFonts w:ascii="Garamond" w:hAnsi="Garamond"/>
          <w:sz w:val="22"/>
          <w:szCs w:val="22"/>
        </w:rPr>
        <w:t>, RD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Classify</w:t>
      </w:r>
      <w:r w:rsidRPr="003A5A15">
        <w:rPr>
          <w:rFonts w:ascii="Garamond" w:hAnsi="Garamond"/>
          <w:bCs/>
          <w:sz w:val="22"/>
          <w:szCs w:val="22"/>
        </w:rPr>
        <w:t xml:space="preserve"> the formulas commonly used in the treatment of pediatric feeding disorders</w:t>
      </w:r>
    </w:p>
    <w:p w:rsidRPr="003A5A15" w:rsidP="00A83DCA">
      <w:pPr>
        <w:ind w:left="540" w:hanging="180"/>
        <w:rPr>
          <w:rFonts w:ascii="Garamond" w:hAnsi="Garamond"/>
          <w:bCs/>
          <w:sz w:val="22"/>
          <w:szCs w:val="22"/>
        </w:rPr>
      </w:pPr>
      <w:r w:rsidRPr="003A5A15">
        <w:rPr>
          <w:rFonts w:ascii="Garamond" w:hAnsi="Garamond"/>
          <w:bCs/>
          <w:sz w:val="22"/>
          <w:szCs w:val="22"/>
        </w:rPr>
        <w:t>2 Understand how to choose a formula and considerations when making a transition plan</w:t>
      </w:r>
    </w:p>
    <w:p w:rsidRPr="003A5A15" w:rsidP="00A83DCA">
      <w:pPr>
        <w:ind w:left="540" w:hanging="180"/>
        <w:rPr>
          <w:rFonts w:ascii="Garamond" w:hAnsi="Garamond"/>
          <w:bCs/>
          <w:sz w:val="22"/>
          <w:szCs w:val="22"/>
        </w:rPr>
      </w:pPr>
      <w:r w:rsidRPr="003A5A15">
        <w:rPr>
          <w:rFonts w:ascii="Garamond" w:hAnsi="Garamond"/>
          <w:bCs/>
          <w:sz w:val="22"/>
          <w:szCs w:val="22"/>
        </w:rPr>
        <w:t>3 Explore all aspects of tube feeding management (nasogastric, gastrostomy tube), including schedule, administration, and weaning</w:t>
      </w:r>
    </w:p>
    <w:p w:rsidRPr="003A5A15" w:rsidP="00A83DCA">
      <w:pPr>
        <w:ind w:left="540" w:hanging="180"/>
        <w:rPr>
          <w:rFonts w:ascii="Garamond" w:hAnsi="Garamond"/>
          <w:bCs/>
          <w:sz w:val="22"/>
          <w:szCs w:val="22"/>
        </w:rPr>
      </w:pPr>
      <w:r w:rsidRPr="003A5A15">
        <w:rPr>
          <w:rFonts w:ascii="Garamond" w:hAnsi="Garamond"/>
          <w:bCs/>
          <w:sz w:val="22"/>
          <w:szCs w:val="22"/>
        </w:rPr>
        <w:t>4 Infer when should a child be referred for an allergy assessment as a reason for their feeding difficulties</w:t>
      </w:r>
    </w:p>
    <w:p w:rsidR="006A4A00" w:rsidRPr="003A5A15" w:rsidP="00A83DCA">
      <w:pPr>
        <w:ind w:left="540" w:hanging="180"/>
        <w:rPr>
          <w:rFonts w:ascii="Garamond" w:hAnsi="Garamond"/>
          <w:bCs/>
          <w:sz w:val="22"/>
          <w:szCs w:val="22"/>
        </w:rPr>
      </w:pPr>
      <w:r w:rsidRPr="003A5A15">
        <w:rPr>
          <w:rFonts w:ascii="Garamond" w:hAnsi="Garamond"/>
          <w:bCs/>
          <w:sz w:val="22"/>
          <w:szCs w:val="22"/>
        </w:rPr>
        <w:t>5 Understand the cultural and biopsychosocial considerations in nutritional management of feeding disorders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47604046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842526420"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