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2021 Best</w:t>
      </w:r>
      <w:r>
        <w:rPr>
          <w:rFonts w:ascii="Garamond" w:hAnsi="Garamond"/>
          <w:bCs/>
        </w:rPr>
        <w:t xml:space="preserve"> Practices in Teen Healthcare: Creating an Environment to Provide Patient-Friendly Reproductive Health Service Symposium</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June 19,</w:t>
      </w:r>
      <w:r>
        <w:rPr>
          <w:rFonts w:ascii="Garamond" w:hAnsi="Garamond"/>
          <w:bCs/>
        </w:rPr>
        <w:t xml:space="preserve"> 2021 - 7:30 AM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Elise  Berlan</w:t>
      </w:r>
      <w:r w:rsidRPr="003A5A15">
        <w:rPr>
          <w:rFonts w:ascii="Garamond" w:hAnsi="Garamond"/>
          <w:sz w:val="22"/>
          <w:szCs w:val="22"/>
        </w:rPr>
        <w:t>, MD, MPH, FAAP, FSAHM Disclosure(s) - Fees for Non-CE Services Received Directly from a Commercial Interest or its Agent-Merck and Company, Inc.,Contracted Research-Merck and Company, Inc.,Consulting Fee-Merck and Company, Inc.</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Gayathri  Chelvakumar,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Nancy  Ford, APN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Meg  Kane Disclosure(s) - Compensation for vaccine trial-Pfizer, Inc.</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Tifini  Ray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Mysheika  Roberts, MD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Nihal Abdalla</w:t>
      </w:r>
      <w:r w:rsidRPr="009A4B51">
        <w:rPr>
          <w:rFonts w:ascii="Garamond" w:hAnsi="Garamond"/>
          <w:sz w:val="22"/>
          <w:szCs w:val="22"/>
        </w:rPr>
        <w:t>, BA (Activity Administrator)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Angela Abenaim, MS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Matt Hughes,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Jo Taylor, APRN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Olivia Valenti, QIS Coordinator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Describe</w:t>
      </w:r>
      <w:r w:rsidRPr="003A5A15">
        <w:rPr>
          <w:rFonts w:ascii="Garamond" w:hAnsi="Garamond"/>
          <w:bCs/>
          <w:sz w:val="22"/>
          <w:szCs w:val="22"/>
        </w:rPr>
        <w:t xml:space="preserve"> elements of cultural competency &amp; equity in caring for adolescent patients</w:t>
      </w:r>
    </w:p>
    <w:p w:rsidRPr="003A5A15" w:rsidP="00A83DCA">
      <w:pPr>
        <w:ind w:left="540" w:hanging="180"/>
        <w:rPr>
          <w:rFonts w:ascii="Garamond" w:hAnsi="Garamond"/>
          <w:bCs/>
          <w:sz w:val="22"/>
          <w:szCs w:val="22"/>
        </w:rPr>
      </w:pPr>
      <w:r w:rsidRPr="003A5A15">
        <w:rPr>
          <w:rFonts w:ascii="Garamond" w:hAnsi="Garamond"/>
          <w:bCs/>
          <w:sz w:val="22"/>
          <w:szCs w:val="22"/>
        </w:rPr>
        <w:t>1 Describe elements of cultural competency &amp; equity in caring for adolescent patients</w:t>
      </w:r>
    </w:p>
    <w:p w:rsidRPr="003A5A15" w:rsidP="00A83DCA">
      <w:pPr>
        <w:ind w:left="540" w:hanging="180"/>
        <w:rPr>
          <w:rFonts w:ascii="Garamond" w:hAnsi="Garamond"/>
          <w:bCs/>
          <w:sz w:val="22"/>
          <w:szCs w:val="22"/>
        </w:rPr>
      </w:pPr>
      <w:r w:rsidRPr="003A5A15">
        <w:rPr>
          <w:rFonts w:ascii="Garamond" w:hAnsi="Garamond"/>
          <w:bCs/>
          <w:sz w:val="22"/>
          <w:szCs w:val="22"/>
        </w:rPr>
        <w:t>1 Describe elements of cultural competency &amp; equity in caring for adolescent patients</w:t>
      </w:r>
    </w:p>
    <w:p w:rsidRPr="003A5A15" w:rsidP="00A83DCA">
      <w:pPr>
        <w:ind w:left="540" w:hanging="180"/>
        <w:rPr>
          <w:rFonts w:ascii="Garamond" w:hAnsi="Garamond"/>
          <w:bCs/>
          <w:sz w:val="22"/>
          <w:szCs w:val="22"/>
        </w:rPr>
      </w:pPr>
      <w:r w:rsidRPr="003A5A15">
        <w:rPr>
          <w:rFonts w:ascii="Garamond" w:hAnsi="Garamond"/>
          <w:bCs/>
          <w:sz w:val="22"/>
          <w:szCs w:val="22"/>
        </w:rPr>
        <w:t>1 Describe elements of cultural competency &amp; equity in caring for adolescent patients</w:t>
      </w:r>
    </w:p>
    <w:p w:rsidRPr="003A5A15" w:rsidP="00A83DCA">
      <w:pPr>
        <w:ind w:left="540" w:hanging="180"/>
        <w:rPr>
          <w:rFonts w:ascii="Garamond" w:hAnsi="Garamond"/>
          <w:bCs/>
          <w:sz w:val="22"/>
          <w:szCs w:val="22"/>
        </w:rPr>
      </w:pPr>
      <w:r w:rsidRPr="003A5A15">
        <w:rPr>
          <w:rFonts w:ascii="Garamond" w:hAnsi="Garamond"/>
          <w:bCs/>
          <w:sz w:val="22"/>
          <w:szCs w:val="22"/>
        </w:rPr>
        <w:t>1 Improve ability to provide contraceptive care at point of contact with patient</w:t>
      </w:r>
    </w:p>
    <w:p w:rsidRPr="003A5A15" w:rsidP="00A83DCA">
      <w:pPr>
        <w:ind w:left="540" w:hanging="180"/>
        <w:rPr>
          <w:rFonts w:ascii="Garamond" w:hAnsi="Garamond"/>
          <w:bCs/>
          <w:sz w:val="22"/>
          <w:szCs w:val="22"/>
        </w:rPr>
      </w:pPr>
      <w:r w:rsidRPr="003A5A15">
        <w:rPr>
          <w:rFonts w:ascii="Garamond" w:hAnsi="Garamond"/>
          <w:bCs/>
          <w:sz w:val="22"/>
          <w:szCs w:val="22"/>
        </w:rPr>
        <w:t xml:space="preserve">2 Improve knowledge about contraceptive counseling, prescribing contraceptives, and adolescent consent and confidentiality. </w:t>
      </w:r>
    </w:p>
    <w:p w:rsidRPr="003A5A15" w:rsidP="00A83DCA">
      <w:pPr>
        <w:ind w:left="540" w:hanging="180"/>
        <w:rPr>
          <w:rFonts w:ascii="Garamond" w:hAnsi="Garamond"/>
          <w:bCs/>
          <w:sz w:val="22"/>
          <w:szCs w:val="22"/>
        </w:rPr>
      </w:pPr>
      <w:r w:rsidRPr="003A5A15">
        <w:rPr>
          <w:rFonts w:ascii="Garamond" w:hAnsi="Garamond"/>
          <w:bCs/>
          <w:sz w:val="22"/>
          <w:szCs w:val="22"/>
        </w:rPr>
        <w:t>2 List recommended elements of contraception counseling for adolescent patients</w:t>
      </w:r>
    </w:p>
    <w:p w:rsidRPr="003A5A15" w:rsidP="00A83DCA">
      <w:pPr>
        <w:ind w:left="540" w:hanging="180"/>
        <w:rPr>
          <w:rFonts w:ascii="Garamond" w:hAnsi="Garamond"/>
          <w:bCs/>
          <w:sz w:val="22"/>
          <w:szCs w:val="22"/>
        </w:rPr>
      </w:pPr>
      <w:r w:rsidRPr="003A5A15">
        <w:rPr>
          <w:rFonts w:ascii="Garamond" w:hAnsi="Garamond"/>
          <w:bCs/>
          <w:sz w:val="22"/>
          <w:szCs w:val="22"/>
        </w:rPr>
        <w:t>2 List recommended elements of contraception counseling for adolescent patients</w:t>
      </w:r>
    </w:p>
    <w:p w:rsidRPr="003A5A15" w:rsidP="00A83DCA">
      <w:pPr>
        <w:ind w:left="540" w:hanging="180"/>
        <w:rPr>
          <w:rFonts w:ascii="Garamond" w:hAnsi="Garamond"/>
          <w:bCs/>
          <w:sz w:val="22"/>
          <w:szCs w:val="22"/>
        </w:rPr>
      </w:pPr>
      <w:r w:rsidRPr="003A5A15">
        <w:rPr>
          <w:rFonts w:ascii="Garamond" w:hAnsi="Garamond"/>
          <w:bCs/>
          <w:sz w:val="22"/>
          <w:szCs w:val="22"/>
        </w:rPr>
        <w:t>2 List recommended elements of contraception counseling for adolescent patients</w:t>
      </w:r>
    </w:p>
    <w:p w:rsidRPr="003A5A15" w:rsidP="00A83DCA">
      <w:pPr>
        <w:ind w:left="540" w:hanging="180"/>
        <w:rPr>
          <w:rFonts w:ascii="Garamond" w:hAnsi="Garamond"/>
          <w:bCs/>
          <w:sz w:val="22"/>
          <w:szCs w:val="22"/>
        </w:rPr>
      </w:pPr>
      <w:r w:rsidRPr="003A5A15">
        <w:rPr>
          <w:rFonts w:ascii="Garamond" w:hAnsi="Garamond"/>
          <w:bCs/>
          <w:sz w:val="22"/>
          <w:szCs w:val="22"/>
        </w:rPr>
        <w:t>2 List recommended elements of contraception counseling for adolescent patients</w:t>
      </w:r>
    </w:p>
    <w:p w:rsidRPr="003A5A15" w:rsidP="00A83DCA">
      <w:pPr>
        <w:ind w:left="540" w:hanging="180"/>
        <w:rPr>
          <w:rFonts w:ascii="Garamond" w:hAnsi="Garamond"/>
          <w:bCs/>
          <w:sz w:val="22"/>
          <w:szCs w:val="22"/>
        </w:rPr>
      </w:pPr>
      <w:r w:rsidRPr="003A5A15">
        <w:rPr>
          <w:rFonts w:ascii="Garamond" w:hAnsi="Garamond"/>
          <w:bCs/>
          <w:sz w:val="22"/>
          <w:szCs w:val="22"/>
        </w:rPr>
        <w:t xml:space="preserve">3 Demonstrate how to be reasonably certain a woman is not pregnant. </w:t>
      </w:r>
    </w:p>
    <w:p w:rsidRPr="003A5A15" w:rsidP="00A83DCA">
      <w:pPr>
        <w:ind w:left="540" w:hanging="180"/>
        <w:rPr>
          <w:rFonts w:ascii="Garamond" w:hAnsi="Garamond"/>
          <w:bCs/>
          <w:sz w:val="22"/>
          <w:szCs w:val="22"/>
        </w:rPr>
      </w:pPr>
      <w:r w:rsidRPr="003A5A15">
        <w:rPr>
          <w:rFonts w:ascii="Garamond" w:hAnsi="Garamond"/>
          <w:bCs/>
          <w:sz w:val="22"/>
          <w:szCs w:val="22"/>
        </w:rPr>
        <w:t xml:space="preserve">3 Demonstrate how to be reasonably certain a woman is not pregnant. </w:t>
      </w:r>
    </w:p>
    <w:p w:rsidRPr="003A5A15" w:rsidP="00A83DCA">
      <w:pPr>
        <w:ind w:left="540" w:hanging="180"/>
        <w:rPr>
          <w:rFonts w:ascii="Garamond" w:hAnsi="Garamond"/>
          <w:bCs/>
          <w:sz w:val="22"/>
          <w:szCs w:val="22"/>
        </w:rPr>
      </w:pPr>
      <w:r w:rsidRPr="003A5A15">
        <w:rPr>
          <w:rFonts w:ascii="Garamond" w:hAnsi="Garamond"/>
          <w:bCs/>
          <w:sz w:val="22"/>
          <w:szCs w:val="22"/>
        </w:rPr>
        <w:t xml:space="preserve">3 Demonstrate how to be reasonably certain a woman is not pregnant. </w:t>
      </w:r>
    </w:p>
    <w:p w:rsidRPr="003A5A15" w:rsidP="00A83DCA">
      <w:pPr>
        <w:ind w:left="540" w:hanging="180"/>
        <w:rPr>
          <w:rFonts w:ascii="Garamond" w:hAnsi="Garamond"/>
          <w:bCs/>
          <w:sz w:val="22"/>
          <w:szCs w:val="22"/>
        </w:rPr>
      </w:pPr>
      <w:r w:rsidRPr="003A5A15">
        <w:rPr>
          <w:rFonts w:ascii="Garamond" w:hAnsi="Garamond"/>
          <w:bCs/>
          <w:sz w:val="22"/>
          <w:szCs w:val="22"/>
        </w:rPr>
        <w:t xml:space="preserve">3 Demonstrate how to be reasonably certain a woman is not pregnant. </w:t>
      </w:r>
    </w:p>
    <w:p w:rsidRPr="003A5A15" w:rsidP="00A83DCA">
      <w:pPr>
        <w:ind w:left="540" w:hanging="180"/>
        <w:rPr>
          <w:rFonts w:ascii="Garamond" w:hAnsi="Garamond"/>
          <w:bCs/>
          <w:sz w:val="22"/>
          <w:szCs w:val="22"/>
        </w:rPr>
      </w:pPr>
      <w:r w:rsidRPr="003A5A15">
        <w:rPr>
          <w:rFonts w:ascii="Garamond" w:hAnsi="Garamond"/>
          <w:bCs/>
          <w:sz w:val="22"/>
          <w:szCs w:val="22"/>
        </w:rPr>
        <w:t xml:space="preserve">3 Improve cultural competency will lead to enhanced communication with patients </w:t>
      </w:r>
    </w:p>
    <w:p w:rsidRPr="003A5A15" w:rsidP="00A83DCA">
      <w:pPr>
        <w:ind w:left="540" w:hanging="180"/>
        <w:rPr>
          <w:rFonts w:ascii="Garamond" w:hAnsi="Garamond"/>
          <w:bCs/>
          <w:sz w:val="22"/>
          <w:szCs w:val="22"/>
        </w:rPr>
      </w:pPr>
      <w:r w:rsidRPr="003A5A15">
        <w:rPr>
          <w:rFonts w:ascii="Garamond" w:hAnsi="Garamond"/>
          <w:bCs/>
          <w:sz w:val="22"/>
          <w:szCs w:val="22"/>
        </w:rPr>
        <w:t>4 Improve clinical systems to improve adolescent healthcare (within the pediatric medical home and in the community)</w:t>
      </w:r>
    </w:p>
    <w:p w:rsidRPr="003A5A15" w:rsidP="00A83DCA">
      <w:pPr>
        <w:ind w:left="540" w:hanging="180"/>
        <w:rPr>
          <w:rFonts w:ascii="Garamond" w:hAnsi="Garamond"/>
          <w:bCs/>
          <w:sz w:val="22"/>
          <w:szCs w:val="22"/>
        </w:rPr>
      </w:pPr>
      <w:r w:rsidRPr="003A5A15">
        <w:rPr>
          <w:rFonts w:ascii="Garamond" w:hAnsi="Garamond"/>
          <w:bCs/>
          <w:sz w:val="22"/>
          <w:szCs w:val="22"/>
        </w:rPr>
        <w:t>4 Explain ethical framework for consent and confidentiality in adolescent healthcare</w:t>
      </w:r>
    </w:p>
    <w:p w:rsidRPr="003A5A15" w:rsidP="00A83DCA">
      <w:pPr>
        <w:ind w:left="540" w:hanging="180"/>
        <w:rPr>
          <w:rFonts w:ascii="Garamond" w:hAnsi="Garamond"/>
          <w:bCs/>
          <w:sz w:val="22"/>
          <w:szCs w:val="22"/>
        </w:rPr>
      </w:pPr>
      <w:r w:rsidRPr="003A5A15">
        <w:rPr>
          <w:rFonts w:ascii="Garamond" w:hAnsi="Garamond"/>
          <w:bCs/>
          <w:sz w:val="22"/>
          <w:szCs w:val="22"/>
        </w:rPr>
        <w:t>4 Explain ethical framework for consent and confidentiality in adolescent healthcare</w:t>
      </w:r>
    </w:p>
    <w:p w:rsidRPr="003A5A15" w:rsidP="00A83DCA">
      <w:pPr>
        <w:ind w:left="540" w:hanging="180"/>
        <w:rPr>
          <w:rFonts w:ascii="Garamond" w:hAnsi="Garamond"/>
          <w:bCs/>
          <w:sz w:val="22"/>
          <w:szCs w:val="22"/>
        </w:rPr>
      </w:pPr>
      <w:r w:rsidRPr="003A5A15">
        <w:rPr>
          <w:rFonts w:ascii="Garamond" w:hAnsi="Garamond"/>
          <w:bCs/>
          <w:sz w:val="22"/>
          <w:szCs w:val="22"/>
        </w:rPr>
        <w:t>4 Explain ethical framework for consent and confidentiality in adolescent healthcare</w:t>
      </w:r>
    </w:p>
    <w:p w:rsidRPr="003A5A15" w:rsidP="00A83DCA">
      <w:pPr>
        <w:ind w:left="540" w:hanging="180"/>
        <w:rPr>
          <w:rFonts w:ascii="Garamond" w:hAnsi="Garamond"/>
          <w:bCs/>
          <w:sz w:val="22"/>
          <w:szCs w:val="22"/>
        </w:rPr>
      </w:pPr>
      <w:r w:rsidRPr="003A5A15">
        <w:rPr>
          <w:rFonts w:ascii="Garamond" w:hAnsi="Garamond"/>
          <w:bCs/>
          <w:sz w:val="22"/>
          <w:szCs w:val="22"/>
        </w:rPr>
        <w:t>4 Explain ethical framework for consent and confidentiality in adolescent healthcare</w:t>
      </w:r>
    </w:p>
    <w:p w:rsidRPr="003A5A15" w:rsidP="00A83DCA">
      <w:pPr>
        <w:ind w:left="540" w:hanging="180"/>
        <w:rPr>
          <w:rFonts w:ascii="Garamond" w:hAnsi="Garamond"/>
          <w:bCs/>
          <w:sz w:val="22"/>
          <w:szCs w:val="22"/>
        </w:rPr>
      </w:pPr>
      <w:r w:rsidRPr="003A5A15">
        <w:rPr>
          <w:rFonts w:ascii="Garamond" w:hAnsi="Garamond"/>
          <w:bCs/>
          <w:sz w:val="22"/>
          <w:szCs w:val="22"/>
        </w:rPr>
        <w:t>5 Summarize legal framework for consent and confidentiality in adolescent healthcare</w:t>
      </w:r>
    </w:p>
    <w:p w:rsidRPr="003A5A15" w:rsidP="00A83DCA">
      <w:pPr>
        <w:ind w:left="540" w:hanging="180"/>
        <w:rPr>
          <w:rFonts w:ascii="Garamond" w:hAnsi="Garamond"/>
          <w:bCs/>
          <w:sz w:val="22"/>
          <w:szCs w:val="22"/>
        </w:rPr>
      </w:pPr>
      <w:r w:rsidRPr="003A5A15">
        <w:rPr>
          <w:rFonts w:ascii="Garamond" w:hAnsi="Garamond"/>
          <w:bCs/>
          <w:sz w:val="22"/>
          <w:szCs w:val="22"/>
        </w:rPr>
        <w:t>5 Summarize legal framework for consent and confidentiality in adolescent healthcare</w:t>
      </w:r>
    </w:p>
    <w:p w:rsidRPr="003A5A15" w:rsidP="00A83DCA">
      <w:pPr>
        <w:ind w:left="540" w:hanging="180"/>
        <w:rPr>
          <w:rFonts w:ascii="Garamond" w:hAnsi="Garamond"/>
          <w:bCs/>
          <w:sz w:val="22"/>
          <w:szCs w:val="22"/>
        </w:rPr>
      </w:pPr>
      <w:r w:rsidRPr="003A5A15">
        <w:rPr>
          <w:rFonts w:ascii="Garamond" w:hAnsi="Garamond"/>
          <w:bCs/>
          <w:sz w:val="22"/>
          <w:szCs w:val="22"/>
        </w:rPr>
        <w:t>5 Summarize legal framework for consent and confidentiality in adolescent healthcare</w:t>
      </w:r>
    </w:p>
    <w:p w:rsidR="006A4A00" w:rsidRPr="003A5A15" w:rsidP="00A83DCA">
      <w:pPr>
        <w:ind w:left="540" w:hanging="180"/>
        <w:rPr>
          <w:rFonts w:ascii="Garamond" w:hAnsi="Garamond"/>
          <w:bCs/>
          <w:sz w:val="22"/>
          <w:szCs w:val="22"/>
        </w:rPr>
      </w:pPr>
      <w:r w:rsidRPr="003A5A15">
        <w:rPr>
          <w:rFonts w:ascii="Garamond" w:hAnsi="Garamond"/>
          <w:bCs/>
          <w:sz w:val="22"/>
          <w:szCs w:val="22"/>
        </w:rPr>
        <w:t>5 Summarize legal framework for consent and confidentiality in adolescent healthcare</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4.25</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4.25</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4.25</w:instrText>
      </w:r>
      <w:r w:rsidRPr="004655DC" w:rsidR="004623EE">
        <w:rPr>
          <w:sz w:val="16"/>
          <w:szCs w:val="16"/>
        </w:rPr>
        <w:instrText xml:space="preserve"> &gt; 0 "</w:instrText>
      </w:r>
      <w:r w:rsidRPr="004655DC" w:rsidR="004623EE">
        <w:rPr>
          <w:noProof/>
          <w:sz w:val="16"/>
          <w:szCs w:val="16"/>
        </w:rPr>
        <w:instrText>4.25</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4.25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4.25</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4.25</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4.25</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4.25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4.25 ANCC contact hours</w:t>
      </w:r>
      <w:r w:rsidRPr="004655DC" w:rsidR="00CF3DA5">
        <w:rPr>
          <w:noProof/>
          <w:sz w:val="16"/>
          <w:szCs w:val="16"/>
        </w:rPr>
        <w:t>; 4.25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4.25</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4.25</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4.25</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789712995"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