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2021 Virtual</w:t>
      </w:r>
      <w:r>
        <w:rPr>
          <w:rFonts w:ascii="Garamond" w:hAnsi="Garamond"/>
          <w:bCs/>
        </w:rPr>
        <w:t xml:space="preserve"> Neonatal/Perinatal Conference: Improving the Safety and Quality of Neonatal and Perinatal Care: Current Concepts and Challenges</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May 18,</w:t>
      </w:r>
      <w:r>
        <w:rPr>
          <w:rFonts w:ascii="Garamond" w:hAnsi="Garamond"/>
          <w:bCs/>
        </w:rPr>
        <w:t xml:space="preserve"> 2021 - 7:30 AM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Sue  Aucott</w:t>
      </w:r>
      <w:r w:rsidRPr="003A5A15">
        <w:rPr>
          <w:rFonts w:ascii="Garamond" w:hAnsi="Garamond"/>
          <w:sz w:val="22"/>
          <w:szCs w:val="22"/>
        </w:rPr>
        <w:t>, MD, FAAP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jeff  auletta, MD Disclosure(s) - Consulting Fee-AlloVir,Consulting Fee-Novartis AG,Consulting Fee-Takeda Pharmaceuticals, Inc.,Consulting Fee-AscellaHealth,Employment-National Marrow Donor Program/Be The Match</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MOLLY  BALL,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Ralph                               J Beltran                            ,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Bimal  Chaudhari, MD MPH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Omid  Fathi,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Michelle  Fought</w:t>
      </w:r>
    </w:p>
    <w:p w:rsidRPr="003A5A15" w:rsidP="00736C76">
      <w:pPr>
        <w:ind w:left="360"/>
        <w:rPr>
          <w:rFonts w:ascii="Garamond" w:hAnsi="Garamond"/>
          <w:sz w:val="22"/>
          <w:szCs w:val="22"/>
        </w:rPr>
      </w:pPr>
      <w:r w:rsidRPr="003A5A15">
        <w:rPr>
          <w:rFonts w:ascii="Garamond" w:hAnsi="Garamond"/>
          <w:sz w:val="22"/>
          <w:szCs w:val="22"/>
        </w:rPr>
        <w:t>Rebecca L Fredin, LISW-S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Michael  Goodstein, MD, FAAP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Rohan  Henry,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Tamorah  Lewis,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Lara  McKenzie, PhD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Mary Lauren  Neel,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OLUYINKA  OLUTOYE, MD Disclosure(s) - Grant-Covidien</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Michael  Patrick,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Grace  Paul,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Teresa                               Puthoff                            , Pharmacy Advanced Patient Care Pharmacist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Tyler  Rolfes, APN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pablo  sanchez, MD Disclosure(s) - research grant -Merck and Company, Inc.</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 xml:space="preserve">Jack  Stevens, Psychologist Disclosure(s) - I am owner of some common stock of the manufacturers listed in the next tab.-Colgate Palmolive &amp; Procter and Gamble; however, my presentations will NOT focus on the specific products/services of those highly diversified companies </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David   Stukus, MD Disclosure(s) - Consulting Fee-DBV Technologies,Consulting Fee-Before Brands,Royalty-Springer Publishing</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Giorgio  Veneziano, MD, FAAP Disclosure(s) - Consulting Fee-Pacira</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Valencia  Walker, MD, MPH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Jonathan  Wispe,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CODY  YOUNG, Radiologist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Gail                                Bagwell</w:t>
      </w:r>
      <w:r w:rsidRPr="009A4B51">
        <w:rPr>
          <w:rFonts w:ascii="Garamond" w:hAnsi="Garamond"/>
          <w:sz w:val="22"/>
          <w:szCs w:val="22"/>
        </w:rPr>
        <w:t xml:space="preserve">                            , RN (Co-Director)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Jessica Dudley, BS (Activity Coordinator)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Judy Hanlon, MS, RN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 xml:space="preserve">Jennifer Hofherr, MS, OTR/L, C/NDT, CNT (Other Planning Committee Member) </w:t>
      </w:r>
    </w:p>
    <w:p w:rsidRPr="009A4B51" w:rsidP="00736C76">
      <w:pPr>
        <w:ind w:left="360"/>
        <w:rPr>
          <w:rFonts w:ascii="Garamond" w:hAnsi="Garamond"/>
          <w:sz w:val="22"/>
          <w:szCs w:val="22"/>
        </w:rPr>
      </w:pPr>
      <w:r w:rsidRPr="009A4B51">
        <w:rPr>
          <w:rFonts w:ascii="Garamond" w:hAnsi="Garamond"/>
          <w:sz w:val="22"/>
          <w:szCs w:val="22"/>
        </w:rPr>
        <w:t>Erin Keels, DNP (Co-Director)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 xml:space="preserve">Jacqueline Magers, Pharmacist (Other Planning Committee Member) </w:t>
      </w:r>
    </w:p>
    <w:p w:rsidRPr="009A4B51" w:rsidP="00736C76">
      <w:pPr>
        <w:ind w:left="360"/>
        <w:rPr>
          <w:rFonts w:ascii="Garamond" w:hAnsi="Garamond"/>
          <w:sz w:val="22"/>
          <w:szCs w:val="22"/>
        </w:rPr>
      </w:pPr>
      <w:r w:rsidRPr="009A4B51">
        <w:rPr>
          <w:rFonts w:ascii="Garamond" w:hAnsi="Garamond"/>
          <w:sz w:val="22"/>
          <w:szCs w:val="22"/>
        </w:rPr>
        <w:t xml:space="preserve">Richard Moraille (Activity Administrator) </w:t>
      </w:r>
    </w:p>
    <w:p w:rsidRPr="009A4B51" w:rsidP="00736C76">
      <w:pPr>
        <w:ind w:left="360"/>
        <w:rPr>
          <w:rFonts w:ascii="Garamond" w:hAnsi="Garamond"/>
          <w:sz w:val="22"/>
          <w:szCs w:val="22"/>
        </w:rPr>
      </w:pPr>
      <w:r w:rsidRPr="009A4B51">
        <w:rPr>
          <w:rFonts w:ascii="Garamond" w:hAnsi="Garamond"/>
          <w:sz w:val="22"/>
          <w:szCs w:val="22"/>
        </w:rPr>
        <w:t>Leeann Pavlek, MD (Activity Administrator)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 xml:space="preserve">Kim Samson, RN, MSN (Activity Administrator) </w:t>
      </w:r>
    </w:p>
    <w:p w:rsidRPr="009A4B51" w:rsidP="00736C76">
      <w:pPr>
        <w:ind w:left="360"/>
        <w:rPr>
          <w:rFonts w:ascii="Garamond" w:hAnsi="Garamond"/>
          <w:sz w:val="22"/>
          <w:szCs w:val="22"/>
        </w:rPr>
      </w:pPr>
      <w:r w:rsidRPr="009A4B51">
        <w:rPr>
          <w:rFonts w:ascii="Garamond" w:hAnsi="Garamond"/>
          <w:sz w:val="22"/>
          <w:szCs w:val="22"/>
        </w:rPr>
        <w:t xml:space="preserve">Linda Shirey (Other Planning Committee Member) </w:t>
      </w:r>
    </w:p>
    <w:p w:rsidRPr="009A4B51" w:rsidP="00736C76">
      <w:pPr>
        <w:ind w:left="360"/>
        <w:rPr>
          <w:rFonts w:ascii="Garamond" w:hAnsi="Garamond"/>
          <w:sz w:val="22"/>
          <w:szCs w:val="22"/>
        </w:rPr>
      </w:pPr>
      <w:r w:rsidRPr="009A4B51">
        <w:rPr>
          <w:rFonts w:ascii="Garamond" w:hAnsi="Garamond"/>
          <w:sz w:val="22"/>
          <w:szCs w:val="22"/>
        </w:rPr>
        <w:t>AMY THOMAS, RN (Activity Administrator)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 xml:space="preserve">Susan Walters, RNC (Activity Administrator) </w:t>
      </w:r>
    </w:p>
    <w:p w:rsidRPr="009A4B51" w:rsidP="00736C76">
      <w:pPr>
        <w:ind w:left="360"/>
        <w:rPr>
          <w:rFonts w:ascii="Garamond" w:hAnsi="Garamond"/>
          <w:sz w:val="22"/>
          <w:szCs w:val="22"/>
        </w:rPr>
      </w:pPr>
      <w:r w:rsidRPr="009A4B51">
        <w:rPr>
          <w:rFonts w:ascii="Garamond" w:hAnsi="Garamond"/>
          <w:sz w:val="22"/>
          <w:szCs w:val="22"/>
        </w:rPr>
        <w:t>Desta Zerayesus, Education Coordinator (Activity Coordinator)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Utilize</w:t>
      </w:r>
      <w:r w:rsidRPr="003A5A15">
        <w:rPr>
          <w:rFonts w:ascii="Garamond" w:hAnsi="Garamond"/>
          <w:bCs/>
          <w:sz w:val="22"/>
          <w:szCs w:val="22"/>
        </w:rPr>
        <w:t xml:space="preserve"> the science and tools of quality improvement to improve patient outcomes.</w:t>
      </w:r>
    </w:p>
    <w:p w:rsidRPr="003A5A15" w:rsidP="00A83DCA">
      <w:pPr>
        <w:ind w:left="540" w:hanging="180"/>
        <w:rPr>
          <w:rFonts w:ascii="Garamond" w:hAnsi="Garamond"/>
          <w:bCs/>
          <w:sz w:val="22"/>
          <w:szCs w:val="22"/>
        </w:rPr>
      </w:pPr>
      <w:r w:rsidRPr="003A5A15">
        <w:rPr>
          <w:rFonts w:ascii="Garamond" w:hAnsi="Garamond"/>
          <w:bCs/>
          <w:sz w:val="22"/>
          <w:szCs w:val="22"/>
        </w:rPr>
        <w:t>2 Implement the latest, evidence-based treatment options in perinatal and neonatal patients to improve the quality of care.</w:t>
      </w:r>
    </w:p>
    <w:p w:rsidR="006A4A00" w:rsidRPr="003A5A15" w:rsidP="00A83DCA">
      <w:pPr>
        <w:ind w:left="540" w:hanging="180"/>
        <w:rPr>
          <w:rFonts w:ascii="Garamond" w:hAnsi="Garamond"/>
          <w:bCs/>
          <w:sz w:val="22"/>
          <w:szCs w:val="22"/>
        </w:rPr>
      </w:pPr>
      <w:r w:rsidRPr="003A5A15">
        <w:rPr>
          <w:rFonts w:ascii="Garamond" w:hAnsi="Garamond"/>
          <w:bCs/>
          <w:sz w:val="22"/>
          <w:szCs w:val="22"/>
        </w:rPr>
        <w:t>3 Incorporate the most update to date, relevant patient education and self-management guidelines into practice so that patients and families can utilize before, during and after discharge in order to successfully transition care back into the home.</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18.75</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18.75</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18.75</w:instrText>
      </w:r>
      <w:r w:rsidRPr="004655DC" w:rsidR="004623EE">
        <w:rPr>
          <w:sz w:val="16"/>
          <w:szCs w:val="16"/>
        </w:rPr>
        <w:instrText xml:space="preserve"> &gt; 0 "</w:instrText>
      </w:r>
      <w:r w:rsidRPr="004655DC" w:rsidR="004623EE">
        <w:rPr>
          <w:noProof/>
          <w:sz w:val="16"/>
          <w:szCs w:val="16"/>
        </w:rPr>
        <w:instrText>18.75</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18.75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18.75</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18.75</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18.75</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18.75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18.75 ANCC contact hours</w:t>
      </w:r>
      <w:r w:rsidRPr="004655DC" w:rsidR="00CF3DA5">
        <w:rPr>
          <w:noProof/>
          <w:sz w:val="16"/>
          <w:szCs w:val="16"/>
        </w:rPr>
        <w:t>; 18.75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18.75</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noProof/>
          <w:sz w:val="16"/>
          <w:szCs w:val="16"/>
        </w:rPr>
        <w:instrText>18.75</w:instrText>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instrText xml:space="preserve">" "" \* MERGEFORMAT </w:instrText>
      </w:r>
      <w:r w:rsidRPr="004655DC">
        <w:rPr>
          <w:iCs/>
          <w:sz w:val="16"/>
          <w:szCs w:val="16"/>
        </w:rPr>
        <w:fldChar w:fldCharType="separate"/>
      </w:r>
      <w:r w:rsidRPr="004655DC">
        <w:rPr>
          <w:sz w:val="16"/>
          <w:szCs w:val="16"/>
        </w:rPr>
        <w:t xml:space="preserve"> Nationwide Children's Hospital has been authorized by the American Academy of PAs (AAPA) to award AAPA Category 1 CME credit for activities planned in accordance with AAPA CME Criteria. This activity is designated for </w:t>
      </w:r>
      <w:r w:rsidRPr="004655DC" w:rsidR="0085293E">
        <w:rPr>
          <w:noProof/>
          <w:sz w:val="16"/>
          <w:szCs w:val="16"/>
        </w:rPr>
        <w:t>18.75</w:t>
      </w:r>
      <w:r w:rsidRPr="004655DC">
        <w:rPr>
          <w:sz w:val="16"/>
          <w:szCs w:val="16"/>
        </w:rPr>
        <w:t xml:space="preserve"> AAPA Category 1 CME credits. Approval is valid for 2 years from the date of the activity. PAs should only claim credit commensurate with the extent of their participation.</w:t>
      </w:r>
      <w:r w:rsidRPr="004655DC" w:rsidR="00F52C7F">
        <w:rPr>
          <w:sz w:val="16"/>
          <w:szCs w:val="16"/>
        </w:rPr>
        <w:br w:type="column"/>
      </w:r>
      <w:r w:rsidRPr="004655DC" w:rsidR="00F52C7F">
        <w:rPr>
          <w:noProof/>
        </w:rPr>
        <w:drawing>
          <wp:inline distT="0" distB="0" distL="0" distR="0">
            <wp:extent cx="304800" cy="304800"/>
            <wp:effectExtent l="0" t="0" r="0" b="0"/>
            <wp:docPr id="1394650563"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0.00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sz w:val="16"/>
          <w:szCs w:val="16"/>
        </w:rPr>
        <w:fldChar w:fldCharType="begin"/>
      </w:r>
      <w:r w:rsidRPr="004655DC" w:rsidR="002711D9">
        <w:rPr>
          <w:sz w:val="16"/>
          <w:szCs w:val="16"/>
        </w:rPr>
        <w:instrText xml:space="preserve"> MERGEFIELD ASWBHOURSMax \# 0.0</w:instrText>
      </w:r>
      <w:r w:rsidRPr="004655DC" w:rsidR="0031221A">
        <w:rPr>
          <w:sz w:val="16"/>
          <w:szCs w:val="16"/>
        </w:rPr>
        <w:instrText>#</w:instrText>
      </w:r>
      <w:r w:rsidRPr="004655DC" w:rsidR="002711D9">
        <w:rPr>
          <w:sz w:val="16"/>
          <w:szCs w:val="16"/>
        </w:rPr>
        <w:instrText xml:space="preserve"> \* MERGEFORMAT </w:instrText>
      </w:r>
      <w:r w:rsidRPr="004655DC" w:rsidR="002711D9">
        <w:rPr>
          <w:sz w:val="16"/>
          <w:szCs w:val="16"/>
        </w:rPr>
        <w:fldChar w:fldCharType="separate"/>
      </w:r>
      <w:r w:rsidRPr="004655DC" w:rsidR="002711D9">
        <w:rPr>
          <w:noProof/>
          <w:sz w:val="16"/>
          <w:szCs w:val="16"/>
        </w:rPr>
        <w:instrText>«ASWBHOURSMax»</w:instrText>
      </w:r>
      <w:r w:rsidRPr="004655DC" w:rsidR="002711D9">
        <w:rPr>
          <w:sz w:val="16"/>
          <w:szCs w:val="16"/>
        </w:rPr>
        <w:fldChar w:fldCharType="end"/>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0.00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