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11th Annual</w:t>
      </w:r>
      <w:r>
        <w:rPr>
          <w:rFonts w:ascii="Garamond" w:hAnsi="Garamond"/>
          <w:bCs/>
        </w:rPr>
        <w:t xml:space="preserve"> Pediatric Asthma Conference</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May 6,</w:t>
      </w:r>
      <w:r>
        <w:rPr>
          <w:rFonts w:ascii="Garamond" w:hAnsi="Garamond"/>
          <w:bCs/>
        </w:rPr>
        <w:t xml:space="preserve"> 2021 - 9:15 AM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Sara  Bode</w:t>
      </w:r>
      <w:r w:rsidRPr="003A5A15">
        <w:rPr>
          <w:rFonts w:ascii="Garamond" w:hAnsi="Garamond"/>
          <w:sz w:val="22"/>
          <w:szCs w:val="22"/>
        </w:rPr>
        <w:t>,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Christina  Drakulich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Mitchell  Grayson, MD Disclosure(s) - Consulting Fee-Aimmune,Consulting Fee-DBV,Consulting Fee-GlaxoSmithKline,Consulting Fee-Genzyme Corporation</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Thomas J Heater II, RRT, BBA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Melissa  Holtzlander,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Lauren  Howard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Kelly  Kelleher,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Brandon  Kozar, PsyD, MBA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David  Lang,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Kathleen  Lemanek, PhD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Jay  Portnoy, MD Disclosure(s) - Speakers Bureau-Thermofisher,Consulting Fee-Biocryst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Margaret  Redmond,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Rebecca  Scherzer,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Paul  Seese, RN, MSN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Kasey  Strothman,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David   Stukus, MD Disclosure(s) - Consulting Fee-DBV Technologies,Consulting Fee-Before Brands,Royalty-Springer Publishing</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Christopher  Timan, MD Disclosure(s) - I/we have no financial relationships to report.</w:t>
      </w:r>
    </w:p>
    <w:p w:rsidRPr="003A5A15" w:rsidP="00736C76">
      <w:pPr>
        <w:ind w:left="360"/>
        <w:rPr>
          <w:rFonts w:ascii="Garamond" w:hAnsi="Garamond"/>
          <w:sz w:val="22"/>
          <w:szCs w:val="22"/>
        </w:rPr>
      </w:pPr>
    </w:p>
    <w:p w:rsidRPr="003A5A15" w:rsidP="00736C76">
      <w:pPr>
        <w:ind w:left="360"/>
        <w:rPr>
          <w:rFonts w:ascii="Garamond" w:hAnsi="Garamond"/>
          <w:sz w:val="22"/>
          <w:szCs w:val="22"/>
        </w:rPr>
      </w:pPr>
      <w:r w:rsidRPr="003A5A15">
        <w:rPr>
          <w:rFonts w:ascii="Garamond" w:hAnsi="Garamond"/>
          <w:sz w:val="22"/>
          <w:szCs w:val="22"/>
        </w:rPr>
        <w:t>Lisa  Ulrich, MD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Kimberly Arcoleo</w:t>
      </w:r>
      <w:r w:rsidRPr="009A4B51">
        <w:rPr>
          <w:rFonts w:ascii="Garamond" w:hAnsi="Garamond"/>
          <w:sz w:val="22"/>
          <w:szCs w:val="22"/>
        </w:rPr>
        <w:t>, PhD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Gloria Ayres, RRT (Co-Director)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Jessica Dudley, BS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Laura Evans, RT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Gretchen Firchau, MS, RN (Nurse Planner)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Thomas Heater, RRT, BBA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Randall-McSorley, EdD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Margaret Redmond, MD (Co-Director)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Rebecca Scherzer, MD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Kasey Strothman, MD (Co-Director)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Lisa Ulrich, MD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Discuss</w:t>
      </w:r>
      <w:r w:rsidRPr="003A5A15">
        <w:rPr>
          <w:rFonts w:ascii="Garamond" w:hAnsi="Garamond"/>
          <w:bCs/>
          <w:sz w:val="22"/>
          <w:szCs w:val="22"/>
        </w:rPr>
        <w:t xml:space="preserve"> transition of care (pediatric to adult) management strategies for allergy and asthma patients.</w:t>
      </w:r>
    </w:p>
    <w:p w:rsidRPr="003A5A15" w:rsidP="00A83DCA">
      <w:pPr>
        <w:ind w:left="540" w:hanging="180"/>
        <w:rPr>
          <w:rFonts w:ascii="Garamond" w:hAnsi="Garamond"/>
          <w:bCs/>
          <w:sz w:val="22"/>
          <w:szCs w:val="22"/>
        </w:rPr>
      </w:pPr>
      <w:r w:rsidRPr="003A5A15">
        <w:rPr>
          <w:rFonts w:ascii="Garamond" w:hAnsi="Garamond"/>
          <w:bCs/>
          <w:sz w:val="22"/>
          <w:szCs w:val="22"/>
        </w:rPr>
        <w:t>2 Identify novel approaches of allergy and asthma management for patients with challenging needs.</w:t>
      </w:r>
    </w:p>
    <w:p w:rsidR="006A4A00" w:rsidRPr="003A5A15" w:rsidP="00A83DCA">
      <w:pPr>
        <w:ind w:left="540" w:hanging="180"/>
        <w:rPr>
          <w:rFonts w:ascii="Garamond" w:hAnsi="Garamond"/>
          <w:bCs/>
          <w:sz w:val="22"/>
          <w:szCs w:val="22"/>
        </w:rPr>
      </w:pPr>
      <w:r w:rsidRPr="003A5A15">
        <w:rPr>
          <w:rFonts w:ascii="Garamond" w:hAnsi="Garamond"/>
          <w:bCs/>
          <w:sz w:val="22"/>
          <w:szCs w:val="22"/>
        </w:rPr>
        <w:t>3 Utilize treatment options and resources for the patient and family affected by allergic disease and asthma.</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8.50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8.50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8.50</w:instrText>
      </w:r>
      <w:r w:rsidRPr="004655DC" w:rsidR="004623EE">
        <w:rPr>
          <w:sz w:val="16"/>
          <w:szCs w:val="16"/>
        </w:rPr>
        <w:instrText xml:space="preserve"> &gt; 0 "</w:instrText>
      </w:r>
      <w:r w:rsidRPr="004655DC" w:rsidR="004623EE">
        <w:rPr>
          <w:noProof/>
          <w:sz w:val="16"/>
          <w:szCs w:val="16"/>
        </w:rPr>
        <w:instrText>8.5</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8.5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8.50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8.50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8.5</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8.5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8.5 ANCC contact hours</w:t>
      </w:r>
      <w:r w:rsidRPr="004655DC" w:rsidR="00CF3DA5">
        <w:rPr>
          <w:noProof/>
          <w:sz w:val="16"/>
          <w:szCs w:val="16"/>
        </w:rPr>
        <w:t>; 8.5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0.00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sz w:val="16"/>
          <w:szCs w:val="16"/>
        </w:rPr>
        <w:fldChar w:fldCharType="begin"/>
      </w:r>
      <w:r w:rsidRPr="004655DC" w:rsidR="0085293E">
        <w:rPr>
          <w:sz w:val="16"/>
          <w:szCs w:val="16"/>
        </w:rPr>
        <w:instrText xml:space="preserve"> MERGEFIELD AAPAHOURSMax \# 0.0</w:instrText>
      </w:r>
      <w:r w:rsidRPr="004655DC" w:rsidR="0031221A">
        <w:rPr>
          <w:sz w:val="16"/>
          <w:szCs w:val="16"/>
        </w:rPr>
        <w:instrText>#</w:instrText>
      </w:r>
      <w:r w:rsidRPr="004655DC" w:rsidR="0085293E">
        <w:rPr>
          <w:sz w:val="16"/>
          <w:szCs w:val="16"/>
        </w:rPr>
        <w:instrText xml:space="preserve"> \* MERGEFORMAT </w:instrText>
      </w:r>
      <w:r w:rsidRPr="004655DC" w:rsidR="0085293E">
        <w:rPr>
          <w:sz w:val="16"/>
          <w:szCs w:val="16"/>
        </w:rPr>
        <w:fldChar w:fldCharType="separate"/>
      </w:r>
      <w:r w:rsidRPr="004655DC" w:rsidR="0085293E">
        <w:rPr>
          <w:noProof/>
          <w:sz w:val="16"/>
          <w:szCs w:val="16"/>
        </w:rPr>
        <w:instrText>«AAPAHOURSMax»</w:instrText>
      </w:r>
      <w:r w:rsidRPr="004655DC" w:rsidR="0085293E">
        <w:rPr>
          <w:sz w:val="16"/>
          <w:szCs w:val="16"/>
        </w:rPr>
        <w:fldChar w:fldCharType="end"/>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0.00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sz w:val="16"/>
          <w:szCs w:val="16"/>
        </w:rPr>
        <w:fldChar w:fldCharType="begin"/>
      </w:r>
      <w:r w:rsidRPr="004655DC" w:rsidR="002711D9">
        <w:rPr>
          <w:sz w:val="16"/>
          <w:szCs w:val="16"/>
        </w:rPr>
        <w:instrText xml:space="preserve"> MERGEFIELD ASWBHOURSMax \# 0.0</w:instrText>
      </w:r>
      <w:r w:rsidRPr="004655DC" w:rsidR="0031221A">
        <w:rPr>
          <w:sz w:val="16"/>
          <w:szCs w:val="16"/>
        </w:rPr>
        <w:instrText>#</w:instrText>
      </w:r>
      <w:r w:rsidRPr="004655DC" w:rsidR="002711D9">
        <w:rPr>
          <w:sz w:val="16"/>
          <w:szCs w:val="16"/>
        </w:rPr>
        <w:instrText xml:space="preserve"> \* MERGEFORMAT </w:instrText>
      </w:r>
      <w:r w:rsidRPr="004655DC" w:rsidR="002711D9">
        <w:rPr>
          <w:sz w:val="16"/>
          <w:szCs w:val="16"/>
        </w:rPr>
        <w:fldChar w:fldCharType="separate"/>
      </w:r>
      <w:r w:rsidRPr="004655DC" w:rsidR="002711D9">
        <w:rPr>
          <w:noProof/>
          <w:sz w:val="16"/>
          <w:szCs w:val="16"/>
        </w:rPr>
        <w:instrText>«ASWBHOURSMax»</w:instrText>
      </w:r>
      <w:r w:rsidRPr="004655DC" w:rsidR="002711D9">
        <w:rPr>
          <w:sz w:val="16"/>
          <w:szCs w:val="16"/>
        </w:rPr>
        <w:fldChar w:fldCharType="end"/>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0.00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