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Behavior Management 2.0 Constructing and Implementing Token Economies (#12384)</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Behavior Management 2.0 Constructing and Implementing Token Economies (#12384)</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March 12,</w:t>
      </w:r>
      <w:r>
        <w:rPr>
          <w:rFonts w:ascii="Garamond" w:hAnsi="Garamond"/>
          <w:bCs/>
        </w:rPr>
        <w:t xml:space="preserve"> 2021 - 9:00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Benjamin W Fields,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Joseph Hatcher,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- 11/06/2020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Munoz, PhD, Psychologist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- 11/05/2020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Bishara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- 08/27/2020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Gilbert Liu,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Ujjwal Ramtekkar,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- 08/17/2020</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recall how behavioral intervention techniques can be practically applied to change identified behaviors.</w:instrText>
      </w:r>
    </w:p>
    <w:p w:rsidR="004777F1">
      <w:pPr>
        <w:bidi w:val="0"/>
        <w:spacing w:after="280" w:afterAutospacing="1"/>
        <w:rPr>
          <w:rFonts w:ascii="Garamond" w:hAnsi="Garamond"/>
          <w:sz w:val="22"/>
          <w:szCs w:val="22"/>
        </w:rPr>
      </w:pPr>
      <w:r>
        <w:rPr>
          <w:rFonts w:ascii="Garamond" w:hAnsi="Garamond"/>
          <w:sz w:val="22"/>
          <w:szCs w:val="22"/>
        </w:rPr>
        <w:instrText>2 model how facets of token economies can be powerful and adaptable tools to alter behaviors, particularly for children with ADHD and/or children who demonstrate noncompliance frequently throughout the day.</w:instrText>
      </w:r>
    </w:p>
    <w:p w:rsidR="004777F1">
      <w:pPr>
        <w:bidi w:val="0"/>
        <w:spacing w:after="280" w:afterAutospacing="1"/>
        <w:rPr>
          <w:rFonts w:ascii="Garamond" w:hAnsi="Garamond"/>
          <w:sz w:val="22"/>
          <w:szCs w:val="22"/>
        </w:rPr>
      </w:pPr>
      <w:r>
        <w:rPr>
          <w:rFonts w:ascii="Garamond" w:hAnsi="Garamond"/>
          <w:sz w:val="22"/>
          <w:szCs w:val="22"/>
        </w:rPr>
        <w:instrText>3 demonstrate how to engage families in constructing token economies and making appropriate adjustments in light of demonstrated behavior.</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recall how behavioral intervention techniques can be practically applied to change identified behaviors.</w:instrText>
      </w:r>
    </w:p>
    <w:p w:rsidP="004777F1">
      <w:pPr>
        <w:ind w:left="540" w:hanging="180"/>
        <w:rPr>
          <w:rFonts w:ascii="Garamond" w:hAnsi="Garamond"/>
          <w:sz w:val="22"/>
          <w:szCs w:val="22"/>
        </w:rPr>
      </w:pPr>
      <w:r>
        <w:rPr>
          <w:rFonts w:ascii="Garamond" w:hAnsi="Garamond"/>
          <w:sz w:val="22"/>
          <w:szCs w:val="22"/>
        </w:rPr>
        <w:instrText>2 model how facets of token economies can be powerful and adaptable tools to alter behaviors, particularly for children with ADHD and/or children who demonstrate noncompliance frequently throughout the day.</w:instrText>
      </w:r>
    </w:p>
    <w:p w:rsidP="004777F1">
      <w:pPr>
        <w:ind w:left="540" w:hanging="180"/>
        <w:rPr>
          <w:rFonts w:ascii="Garamond" w:hAnsi="Garamond"/>
          <w:sz w:val="22"/>
          <w:szCs w:val="22"/>
        </w:rPr>
      </w:pPr>
      <w:r>
        <w:rPr>
          <w:rFonts w:ascii="Garamond" w:hAnsi="Garamond"/>
          <w:sz w:val="22"/>
          <w:szCs w:val="22"/>
        </w:rPr>
        <w:instrText>3 demonstrate how to engage families in constructing token economies and making appropriate adjustments in light of demonstrated behavior.</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recall how behavioral intervention techniques can be practically applied to change identified behaviors.</w:t>
      </w:r>
    </w:p>
    <w:p w:rsidP="004777F1">
      <w:pPr>
        <w:ind w:left="540" w:hanging="180"/>
        <w:rPr>
          <w:rFonts w:ascii="Garamond" w:hAnsi="Garamond"/>
          <w:sz w:val="22"/>
          <w:szCs w:val="22"/>
        </w:rPr>
      </w:pPr>
      <w:r>
        <w:rPr>
          <w:rFonts w:ascii="Garamond" w:hAnsi="Garamond"/>
          <w:sz w:val="22"/>
          <w:szCs w:val="22"/>
        </w:rPr>
        <w:t>2 model how facets of token economies can be powerful and adaptable tools to alter behaviors, particularly for children with ADHD and/or children who demonstrate noncompliance frequently throughout the day.</w:t>
      </w:r>
    </w:p>
    <w:p w:rsidR="004777F1" w:rsidP="004777F1">
      <w:pPr>
        <w:ind w:left="540" w:hanging="180"/>
        <w:rPr>
          <w:rFonts w:ascii="Garamond" w:hAnsi="Garamond"/>
          <w:sz w:val="22"/>
          <w:szCs w:val="22"/>
        </w:rPr>
      </w:pPr>
      <w:r>
        <w:rPr>
          <w:rFonts w:ascii="Garamond" w:hAnsi="Garamond"/>
          <w:sz w:val="22"/>
          <w:szCs w:val="22"/>
        </w:rPr>
        <w:t>3 demonstrate how to engage families in constructing token economies and making appropriate adjustments in light of demonstrated behavior.</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33119868"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211561678"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