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6th Annual</w:t>
      </w:r>
      <w:r>
        <w:rPr>
          <w:rFonts w:ascii="Garamond" w:hAnsi="Garamond"/>
          <w:bCs/>
        </w:rPr>
        <w:t xml:space="preserve"> Pediatric Update for Advanced Practice Providers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January 29,</w:t>
      </w:r>
      <w:r>
        <w:rPr>
          <w:rFonts w:ascii="Garamond" w:hAnsi="Garamond"/>
          <w:bCs/>
        </w:rPr>
        <w:t xml:space="preserve"> 2021 - 7:00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Gail  Bagwell</w:t>
      </w:r>
      <w:r w:rsidRPr="003A5A15">
        <w:rPr>
          <w:rFonts w:ascii="Garamond" w:hAnsi="Garamond"/>
          <w:sz w:val="22"/>
          <w:szCs w:val="22"/>
        </w:rPr>
        <w:t>, DNP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Shivani  Bhatnagar, APN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Amanda  Bruhnsen, NNP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Sarah  Driesbach, APRN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Amber  Essman`, DNP, FNP-BC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Andrea  Ganger, PA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Michelle  Grcic, APRN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Melissa  Malin, NP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Debbie  Malloy, NP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Sheena  Palmer, APRN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Lauren  Renner, CPNP-PC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Jason  Saavedra, APN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Sharon  Wrona, PNP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Pooja  Zahora, FNP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Jill Bennison</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Courtney Bishop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Gail Hornor (Nurse Planner)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Lanette Johnson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Vonda Lowe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Jennifer Weiner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Recognize</w:t>
      </w:r>
      <w:r w:rsidRPr="003A5A15">
        <w:rPr>
          <w:rFonts w:ascii="Garamond" w:hAnsi="Garamond"/>
          <w:bCs/>
          <w:sz w:val="22"/>
          <w:szCs w:val="22"/>
        </w:rPr>
        <w:t xml:space="preserve"> signs and symptoms of medical disorders and topics covered including epilepsy, sudden cardiac death, constipation, and BPD </w:t>
      </w:r>
    </w:p>
    <w:p w:rsidR="006A4A00" w:rsidRPr="003A5A15" w:rsidP="00A83DCA">
      <w:pPr>
        <w:ind w:left="540" w:hanging="180"/>
        <w:rPr>
          <w:rFonts w:ascii="Garamond" w:hAnsi="Garamond"/>
          <w:bCs/>
          <w:sz w:val="22"/>
          <w:szCs w:val="22"/>
        </w:rPr>
      </w:pPr>
      <w:r w:rsidRPr="003A5A15">
        <w:rPr>
          <w:rFonts w:ascii="Garamond" w:hAnsi="Garamond"/>
          <w:bCs/>
          <w:sz w:val="22"/>
          <w:szCs w:val="22"/>
        </w:rPr>
        <w:t xml:space="preserve">2 Understand appropriate treatments including pharmacologic management of topics covered including pain, birth control, seizures, constipation, and BPD </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6.75</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1</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6.75</w:instrText>
      </w:r>
      <w:r w:rsidRPr="004655DC" w:rsidR="004623EE">
        <w:rPr>
          <w:sz w:val="16"/>
          <w:szCs w:val="16"/>
        </w:rPr>
        <w:instrText xml:space="preserve"> &gt; 0 "</w:instrText>
      </w:r>
      <w:r w:rsidRPr="004655DC" w:rsidR="004623EE">
        <w:rPr>
          <w:noProof/>
          <w:sz w:val="16"/>
          <w:szCs w:val="16"/>
        </w:rPr>
        <w:instrText>6.75</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6.75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6.75 ANCC contact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6.75</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6.75</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6.75</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625402795"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