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30721</w:instrText>
      </w:r>
      <w:r>
        <w:rPr>
          <w:rFonts w:ascii="Garamond" w:hAnsi="Garamond"/>
          <w:bCs/>
        </w:rPr>
        <w:instrText xml:space="preserve"> &lt;&gt; "" "</w:instrText>
      </w:r>
      <w:r>
        <w:rPr>
          <w:rFonts w:ascii="Garamond" w:hAnsi="Garamond"/>
          <w:bCs/>
        </w:rPr>
        <w:instrText>APP Lunch &amp; Learn Enduring Series</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APP Lunch &amp; Learn Enduring Series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28,</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30721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APP Lunch and Learn Enduring: Eating Disorders in Primary Care: Identification in the Office and Evaluation for Medical Instability/Hospital Admission</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APP Lunch and Learn Enduring: Eating Disorders in Primary Care: Identification in the Office and Evaluation for Medical Instability/Hospital Admission</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Alexandra Price, PNP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A Tolman,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- 07/22/2025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List the most common types of eating disorders</w:instrText>
      </w:r>
    </w:p>
    <w:p w:rsidR="004777F1">
      <w:pPr>
        <w:bidi w:val="0"/>
        <w:spacing w:after="280" w:afterAutospacing="1"/>
        <w:rPr>
          <w:rFonts w:ascii="Garamond" w:hAnsi="Garamond"/>
          <w:sz w:val="22"/>
          <w:szCs w:val="22"/>
        </w:rPr>
      </w:pPr>
      <w:r>
        <w:rPr>
          <w:rFonts w:ascii="Garamond" w:hAnsi="Garamond"/>
          <w:sz w:val="22"/>
          <w:szCs w:val="22"/>
        </w:rPr>
        <w:instrText>2 Understand medical complications, lab and EKG findings associated with eating disorders/refeeding syndrome</w:instrText>
      </w:r>
    </w:p>
    <w:p w:rsidR="004777F1">
      <w:pPr>
        <w:bidi w:val="0"/>
        <w:spacing w:after="280" w:afterAutospacing="1"/>
        <w:rPr>
          <w:rFonts w:ascii="Garamond" w:hAnsi="Garamond"/>
          <w:sz w:val="22"/>
          <w:szCs w:val="22"/>
        </w:rPr>
      </w:pPr>
      <w:r>
        <w:rPr>
          <w:rFonts w:ascii="Garamond" w:hAnsi="Garamond"/>
          <w:sz w:val="22"/>
          <w:szCs w:val="22"/>
        </w:rPr>
        <w:instrText>3 Understand the Pathophysiology of Refeeding Syndrome-Case Study</w:instrText>
      </w:r>
    </w:p>
    <w:p w:rsidR="004777F1">
      <w:pPr>
        <w:bidi w:val="0"/>
        <w:spacing w:after="280" w:afterAutospacing="1"/>
        <w:rPr>
          <w:rFonts w:ascii="Garamond" w:hAnsi="Garamond"/>
          <w:sz w:val="22"/>
          <w:szCs w:val="22"/>
        </w:rPr>
      </w:pPr>
      <w:r>
        <w:rPr>
          <w:rFonts w:ascii="Garamond" w:hAnsi="Garamond"/>
          <w:sz w:val="22"/>
          <w:szCs w:val="22"/>
        </w:rPr>
        <w:instrText>4 Identify how to properly assess and manage disordered eating until evaluated in specialty care</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List the most common types of eating disorders</w:instrText>
      </w:r>
    </w:p>
    <w:p w:rsidP="004777F1">
      <w:pPr>
        <w:ind w:left="540" w:hanging="180"/>
        <w:rPr>
          <w:rFonts w:ascii="Garamond" w:hAnsi="Garamond"/>
          <w:sz w:val="22"/>
          <w:szCs w:val="22"/>
        </w:rPr>
      </w:pPr>
      <w:r>
        <w:rPr>
          <w:rFonts w:ascii="Garamond" w:hAnsi="Garamond"/>
          <w:sz w:val="22"/>
          <w:szCs w:val="22"/>
        </w:rPr>
        <w:instrText>2 Understand medical complications, lab and EKG findings associated with eating disorders/refeeding syndrome</w:instrText>
      </w:r>
    </w:p>
    <w:p w:rsidP="004777F1">
      <w:pPr>
        <w:ind w:left="540" w:hanging="180"/>
        <w:rPr>
          <w:rFonts w:ascii="Garamond" w:hAnsi="Garamond"/>
          <w:sz w:val="22"/>
          <w:szCs w:val="22"/>
        </w:rPr>
      </w:pPr>
      <w:r>
        <w:rPr>
          <w:rFonts w:ascii="Garamond" w:hAnsi="Garamond"/>
          <w:sz w:val="22"/>
          <w:szCs w:val="22"/>
        </w:rPr>
        <w:instrText>3 Understand the Pathophysiology of Refeeding Syndrome-Case Study</w:instrText>
      </w:r>
    </w:p>
    <w:p w:rsidP="004777F1">
      <w:pPr>
        <w:ind w:left="540" w:hanging="180"/>
        <w:rPr>
          <w:rFonts w:ascii="Garamond" w:hAnsi="Garamond"/>
          <w:sz w:val="22"/>
          <w:szCs w:val="22"/>
        </w:rPr>
      </w:pPr>
      <w:r>
        <w:rPr>
          <w:rFonts w:ascii="Garamond" w:hAnsi="Garamond"/>
          <w:sz w:val="22"/>
          <w:szCs w:val="22"/>
        </w:rPr>
        <w:instrText>4 Identify how to properly assess and manage disordered eating until evaluated in specialty care</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List the most common types of eating disorders</w:t>
      </w:r>
    </w:p>
    <w:p w:rsidP="004777F1">
      <w:pPr>
        <w:ind w:left="540" w:hanging="180"/>
        <w:rPr>
          <w:rFonts w:ascii="Garamond" w:hAnsi="Garamond"/>
          <w:sz w:val="22"/>
          <w:szCs w:val="22"/>
        </w:rPr>
      </w:pPr>
      <w:r>
        <w:rPr>
          <w:rFonts w:ascii="Garamond" w:hAnsi="Garamond"/>
          <w:sz w:val="22"/>
          <w:szCs w:val="22"/>
        </w:rPr>
        <w:t>2 Understand medical complications, lab and EKG findings associated with eating disorders/refeeding syndrome</w:t>
      </w:r>
    </w:p>
    <w:p w:rsidP="004777F1">
      <w:pPr>
        <w:ind w:left="540" w:hanging="180"/>
        <w:rPr>
          <w:rFonts w:ascii="Garamond" w:hAnsi="Garamond"/>
          <w:sz w:val="22"/>
          <w:szCs w:val="22"/>
        </w:rPr>
      </w:pPr>
      <w:r>
        <w:rPr>
          <w:rFonts w:ascii="Garamond" w:hAnsi="Garamond"/>
          <w:sz w:val="22"/>
          <w:szCs w:val="22"/>
        </w:rPr>
        <w:t>3 Understand the Pathophysiology of Refeeding Syndrome-Case Study</w:t>
      </w:r>
    </w:p>
    <w:p w:rsidR="004777F1" w:rsidP="004777F1">
      <w:pPr>
        <w:ind w:left="540" w:hanging="180"/>
        <w:rPr>
          <w:rFonts w:ascii="Garamond" w:hAnsi="Garamond"/>
          <w:sz w:val="22"/>
          <w:szCs w:val="22"/>
        </w:rPr>
      </w:pPr>
      <w:r>
        <w:rPr>
          <w:rFonts w:ascii="Garamond" w:hAnsi="Garamond"/>
          <w:sz w:val="22"/>
          <w:szCs w:val="22"/>
        </w:rPr>
        <w:t>4 Identify how to properly assess and manage disordered eating until evaluated in specialty care</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312587089"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