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Suicide Screening in the Behavioral Health Setting</w:instrText>
      </w:r>
      <w:r>
        <w:rPr>
          <w:rFonts w:ascii="Garamond" w:hAnsi="Garamond"/>
          <w:bCs/>
        </w:rPr>
        <w:instrText xml:space="preserve">" </w:instrText>
      </w:r>
      <w:r>
        <w:rPr>
          <w:rFonts w:ascii="Garamond" w:hAnsi="Garamond"/>
          <w:bCs/>
        </w:rPr>
        <w:fldChar w:fldCharType="separate"/>
      </w:r>
      <w:r>
        <w:rPr>
          <w:rFonts w:ascii="Garamond" w:hAnsi="Garamond"/>
          <w:bCs/>
        </w:rPr>
        <w:t>Suicide Screening in the Behavioral Health Setting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3,</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Recall the importance of suicide screening and assessment in pediatric populations.</w:instrText>
      </w:r>
    </w:p>
    <w:p w:rsidR="004777F1" w:rsidP="004777F1">
      <w:pPr>
        <w:ind w:left="540" w:hanging="180"/>
        <w:rPr>
          <w:rFonts w:ascii="Garamond" w:hAnsi="Garamond"/>
          <w:sz w:val="22"/>
          <w:szCs w:val="22"/>
        </w:rPr>
      </w:pPr>
      <w:r>
        <w:rPr>
          <w:rFonts w:ascii="Garamond" w:hAnsi="Garamond"/>
          <w:sz w:val="22"/>
          <w:szCs w:val="22"/>
        </w:rPr>
        <w:instrText>2 Differentiate between Tier 1 and Tier 2 environments and their corresponding safety interventions.</w:instrText>
      </w:r>
    </w:p>
    <w:p w:rsidR="004777F1" w:rsidP="004777F1">
      <w:pPr>
        <w:ind w:left="540" w:hanging="180"/>
        <w:rPr>
          <w:rFonts w:ascii="Garamond" w:hAnsi="Garamond"/>
          <w:sz w:val="22"/>
          <w:szCs w:val="22"/>
        </w:rPr>
      </w:pPr>
      <w:r>
        <w:rPr>
          <w:rFonts w:ascii="Garamond" w:hAnsi="Garamond"/>
          <w:sz w:val="22"/>
          <w:szCs w:val="22"/>
        </w:rPr>
        <w:instrText>3 Understand how to complete 3 essential parts of the Zero Suicide initiative: Suicide Screening, Suicide Risk Assessment, including Risk &amp; Protective Factors and Suicide Risk Categorization</w:instrText>
      </w:r>
    </w:p>
    <w:p w:rsidR="004777F1" w:rsidP="004777F1">
      <w:pPr>
        <w:ind w:left="540" w:hanging="180"/>
        <w:rPr>
          <w:rFonts w:ascii="Garamond" w:hAnsi="Garamond"/>
          <w:sz w:val="22"/>
          <w:szCs w:val="22"/>
        </w:rPr>
      </w:pPr>
      <w:r>
        <w:rPr>
          <w:rFonts w:ascii="Garamond" w:hAnsi="Garamond"/>
          <w:sz w:val="22"/>
          <w:szCs w:val="22"/>
        </w:rPr>
        <w:instrText>4 Identify required safety interventions for different risk levels based on Tier 1 or Tier 2 Environment.</w:instrText>
      </w:r>
    </w:p>
    <w:p w:rsidR="004777F1" w:rsidP="004777F1">
      <w:pPr>
        <w:ind w:left="540" w:hanging="180"/>
        <w:rPr>
          <w:rFonts w:ascii="Garamond" w:hAnsi="Garamond"/>
          <w:sz w:val="22"/>
          <w:szCs w:val="22"/>
        </w:rPr>
      </w:pPr>
      <w:r>
        <w:rPr>
          <w:rFonts w:ascii="Garamond" w:hAnsi="Garamond"/>
          <w:sz w:val="22"/>
          <w:szCs w:val="22"/>
        </w:rPr>
        <w:instrText>5 Recognize 3 resources available to staff to care for patients at risk for suicide.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Recall the importance of suicide screening and assessment in pediatric populations.</w:instrText>
      </w:r>
    </w:p>
    <w:p w:rsidP="004777F1">
      <w:pPr>
        <w:ind w:left="540" w:hanging="180"/>
        <w:rPr>
          <w:rFonts w:ascii="Garamond" w:hAnsi="Garamond"/>
          <w:sz w:val="22"/>
          <w:szCs w:val="22"/>
        </w:rPr>
      </w:pPr>
      <w:r>
        <w:rPr>
          <w:rFonts w:ascii="Garamond" w:hAnsi="Garamond"/>
          <w:sz w:val="22"/>
          <w:szCs w:val="22"/>
        </w:rPr>
        <w:instrText>2 Differentiate between Tier 1 and Tier 2 environments and their corresponding safety interventions.</w:instrText>
      </w:r>
    </w:p>
    <w:p w:rsidP="004777F1">
      <w:pPr>
        <w:ind w:left="540" w:hanging="180"/>
        <w:rPr>
          <w:rFonts w:ascii="Garamond" w:hAnsi="Garamond"/>
          <w:sz w:val="22"/>
          <w:szCs w:val="22"/>
        </w:rPr>
      </w:pPr>
      <w:r>
        <w:rPr>
          <w:rFonts w:ascii="Garamond" w:hAnsi="Garamond"/>
          <w:sz w:val="22"/>
          <w:szCs w:val="22"/>
        </w:rPr>
        <w:instrText>3 Understand how to complete 3 essential parts of the Zero Suicide initiative: Suicide Screening, Suicide Risk Assessment, including Risk &amp; Protective Factors and Suicide Risk Categorization</w:instrText>
      </w:r>
    </w:p>
    <w:p w:rsidP="004777F1">
      <w:pPr>
        <w:ind w:left="540" w:hanging="180"/>
        <w:rPr>
          <w:rFonts w:ascii="Garamond" w:hAnsi="Garamond"/>
          <w:sz w:val="22"/>
          <w:szCs w:val="22"/>
        </w:rPr>
      </w:pPr>
      <w:r>
        <w:rPr>
          <w:rFonts w:ascii="Garamond" w:hAnsi="Garamond"/>
          <w:sz w:val="22"/>
          <w:szCs w:val="22"/>
        </w:rPr>
        <w:instrText>4 Identify required safety interventions for different risk levels based on Tier 1 or Tier 2 Environment.</w:instrText>
      </w:r>
    </w:p>
    <w:p w:rsidP="004777F1">
      <w:pPr>
        <w:ind w:left="540" w:hanging="180"/>
        <w:rPr>
          <w:rFonts w:ascii="Garamond" w:hAnsi="Garamond"/>
          <w:sz w:val="22"/>
          <w:szCs w:val="22"/>
        </w:rPr>
      </w:pPr>
      <w:r>
        <w:rPr>
          <w:rFonts w:ascii="Garamond" w:hAnsi="Garamond"/>
          <w:sz w:val="22"/>
          <w:szCs w:val="22"/>
        </w:rPr>
        <w:instrText>5 Recognize 3 resources available to staff to care for patients at risk for suicide.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Recall the importance of suicide screening and assessment in pediatric populations.</w:t>
      </w:r>
    </w:p>
    <w:p w:rsidP="004777F1">
      <w:pPr>
        <w:ind w:left="540" w:hanging="180"/>
        <w:rPr>
          <w:rFonts w:ascii="Garamond" w:hAnsi="Garamond"/>
          <w:sz w:val="22"/>
          <w:szCs w:val="22"/>
        </w:rPr>
      </w:pPr>
      <w:r>
        <w:rPr>
          <w:rFonts w:ascii="Garamond" w:hAnsi="Garamond"/>
          <w:sz w:val="22"/>
          <w:szCs w:val="22"/>
        </w:rPr>
        <w:t>2 Differentiate between Tier 1 and Tier 2 environments and their corresponding safety interventions.</w:t>
      </w:r>
    </w:p>
    <w:p w:rsidP="004777F1">
      <w:pPr>
        <w:ind w:left="540" w:hanging="180"/>
        <w:rPr>
          <w:rFonts w:ascii="Garamond" w:hAnsi="Garamond"/>
          <w:sz w:val="22"/>
          <w:szCs w:val="22"/>
        </w:rPr>
      </w:pPr>
      <w:r>
        <w:rPr>
          <w:rFonts w:ascii="Garamond" w:hAnsi="Garamond"/>
          <w:sz w:val="22"/>
          <w:szCs w:val="22"/>
        </w:rPr>
        <w:t>3 Understand how to complete 3 essential parts of the Zero Suicide initiative: Suicide Screening, Suicide Risk Assessment, including Risk &amp; Protective Factors and Suicide Risk Categorization</w:t>
      </w:r>
    </w:p>
    <w:p w:rsidP="004777F1">
      <w:pPr>
        <w:ind w:left="540" w:hanging="180"/>
        <w:rPr>
          <w:rFonts w:ascii="Garamond" w:hAnsi="Garamond"/>
          <w:sz w:val="22"/>
          <w:szCs w:val="22"/>
        </w:rPr>
      </w:pPr>
      <w:r>
        <w:rPr>
          <w:rFonts w:ascii="Garamond" w:hAnsi="Garamond"/>
          <w:sz w:val="22"/>
          <w:szCs w:val="22"/>
        </w:rPr>
        <w:t>4 Identify required safety interventions for different risk levels based on Tier 1 or Tier 2 Environment.</w:t>
      </w:r>
    </w:p>
    <w:p w:rsidR="004777F1" w:rsidP="004777F1">
      <w:pPr>
        <w:ind w:left="540" w:hanging="180"/>
        <w:rPr>
          <w:rFonts w:ascii="Garamond" w:hAnsi="Garamond"/>
          <w:sz w:val="22"/>
          <w:szCs w:val="22"/>
        </w:rPr>
      </w:pPr>
      <w:r>
        <w:rPr>
          <w:rFonts w:ascii="Garamond" w:hAnsi="Garamond"/>
          <w:sz w:val="22"/>
          <w:szCs w:val="22"/>
        </w:rPr>
        <w:t>5 Recognize 3 resources available to staff to care for patients at risk for suicide.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0.75</w:instrText>
      </w:r>
      <w:r>
        <w:rPr>
          <w:sz w:val="20"/>
          <w:szCs w:val="20"/>
        </w:rPr>
        <w:instrText xml:space="preserve"> &gt; 0 "(</w:instrText>
      </w:r>
      <w:r>
        <w:rPr>
          <w:sz w:val="20"/>
          <w:szCs w:val="20"/>
        </w:rPr>
        <w:instrText>0.75</w:instrText>
      </w:r>
      <w:r>
        <w:rPr>
          <w:sz w:val="20"/>
          <w:szCs w:val="20"/>
        </w:rPr>
        <w:instrText xml:space="preserve"> ANCC contact hour(s)) " "" </w:instrText>
      </w:r>
      <w:r>
        <w:rPr>
          <w:sz w:val="20"/>
          <w:szCs w:val="20"/>
        </w:rPr>
        <w:fldChar w:fldCharType="separate"/>
      </w:r>
      <w:r>
        <w:rPr>
          <w:sz w:val="20"/>
          <w:szCs w:val="20"/>
        </w:rPr>
        <w:t>(</w:t>
      </w:r>
      <w:r>
        <w:rPr>
          <w:sz w:val="20"/>
          <w:szCs w:val="20"/>
        </w:rPr>
        <w:t>0.75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