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Sensory Support in the Behavioral Health Setting</w:instrText>
      </w:r>
      <w:r>
        <w:rPr>
          <w:rFonts w:ascii="Garamond" w:hAnsi="Garamond"/>
          <w:bCs/>
        </w:rPr>
        <w:instrText xml:space="preserve">" </w:instrText>
      </w:r>
      <w:r>
        <w:rPr>
          <w:rFonts w:ascii="Garamond" w:hAnsi="Garamond"/>
          <w:bCs/>
        </w:rPr>
        <w:fldChar w:fldCharType="separate"/>
      </w:r>
      <w:r>
        <w:rPr>
          <w:rFonts w:ascii="Garamond" w:hAnsi="Garamond"/>
          <w:bCs/>
        </w:rPr>
        <w:t>Sensory Support in the Behavioral Health Setting</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September 3,</w:t>
      </w:r>
      <w:r>
        <w:rPr>
          <w:rFonts w:ascii="Garamond" w:hAnsi="Garamond"/>
          <w:bCs/>
        </w:rPr>
        <w:t xml:space="preserve"> 2025 - 8:00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Brandon Okazawa,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Liam Hix, MSN, RN, PMH-BC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Taylor Faught, Bachelors of Science in Nursing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- 08/05/2025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 xml:space="preserve">1 Identify 3 senses which are part of sensory processing. </w:instrText>
      </w:r>
    </w:p>
    <w:p w:rsidR="004777F1" w:rsidP="004777F1">
      <w:pPr>
        <w:ind w:left="540" w:hanging="180"/>
        <w:rPr>
          <w:rFonts w:ascii="Garamond" w:hAnsi="Garamond"/>
          <w:sz w:val="22"/>
          <w:szCs w:val="22"/>
        </w:rPr>
      </w:pPr>
      <w:r>
        <w:rPr>
          <w:rFonts w:ascii="Garamond" w:hAnsi="Garamond"/>
          <w:sz w:val="22"/>
          <w:szCs w:val="22"/>
        </w:rPr>
        <w:instrText xml:space="preserve">2 Recall 3 disorders in which sensory input may be disrupted. </w:instrText>
      </w:r>
    </w:p>
    <w:p w:rsidR="004777F1" w:rsidP="004777F1">
      <w:pPr>
        <w:ind w:left="540" w:hanging="180"/>
        <w:rPr>
          <w:rFonts w:ascii="Garamond" w:hAnsi="Garamond"/>
          <w:sz w:val="22"/>
          <w:szCs w:val="22"/>
        </w:rPr>
      </w:pPr>
      <w:r>
        <w:rPr>
          <w:rFonts w:ascii="Garamond" w:hAnsi="Garamond"/>
          <w:sz w:val="22"/>
          <w:szCs w:val="22"/>
        </w:rPr>
        <w:instrText xml:space="preserve">3 Define 3 sensory items which may be used in a sensory diet, and how to safely utilize them.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 xml:space="preserve">1 Identify 3 senses which are part of sensory processing. </w:instrText>
      </w:r>
    </w:p>
    <w:p w:rsidP="004777F1">
      <w:pPr>
        <w:ind w:left="540" w:hanging="180"/>
        <w:rPr>
          <w:rFonts w:ascii="Garamond" w:hAnsi="Garamond"/>
          <w:sz w:val="22"/>
          <w:szCs w:val="22"/>
        </w:rPr>
      </w:pPr>
      <w:r>
        <w:rPr>
          <w:rFonts w:ascii="Garamond" w:hAnsi="Garamond"/>
          <w:sz w:val="22"/>
          <w:szCs w:val="22"/>
        </w:rPr>
        <w:instrText xml:space="preserve">2 Recall 3 disorders in which sensory input may be disrupted. </w:instrText>
      </w:r>
    </w:p>
    <w:p w:rsidP="004777F1">
      <w:pPr>
        <w:ind w:left="540" w:hanging="180"/>
        <w:rPr>
          <w:rFonts w:ascii="Garamond" w:hAnsi="Garamond"/>
          <w:sz w:val="22"/>
          <w:szCs w:val="22"/>
        </w:rPr>
      </w:pPr>
      <w:r>
        <w:rPr>
          <w:rFonts w:ascii="Garamond" w:hAnsi="Garamond"/>
          <w:sz w:val="22"/>
          <w:szCs w:val="22"/>
        </w:rPr>
        <w:instrText xml:space="preserve">3 Define 3 sensory items which may be used in a sensory diet, and how to safely utilize them.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rPr>
      </w:pPr>
      <w:r>
        <w:rPr>
          <w:rFonts w:ascii="Garamond" w:hAnsi="Garamond"/>
          <w:b/>
          <w:bCs/>
        </w:rPr>
        <w:t>ANCC Learning Outcomes:</w: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 xml:space="preserve">1 Identify 3 senses which are part of sensory processing. </w:t>
      </w:r>
    </w:p>
    <w:p w:rsidP="004777F1">
      <w:pPr>
        <w:ind w:left="540" w:hanging="180"/>
        <w:rPr>
          <w:rFonts w:ascii="Garamond" w:hAnsi="Garamond"/>
          <w:sz w:val="22"/>
          <w:szCs w:val="22"/>
        </w:rPr>
      </w:pPr>
      <w:r>
        <w:rPr>
          <w:rFonts w:ascii="Garamond" w:hAnsi="Garamond"/>
          <w:sz w:val="22"/>
          <w:szCs w:val="22"/>
        </w:rPr>
        <w:t xml:space="preserve">2 Recall 3 disorders in which sensory input may be disrupted. </w:t>
      </w:r>
    </w:p>
    <w:p w:rsidR="004777F1" w:rsidP="004777F1">
      <w:pPr>
        <w:ind w:left="540" w:hanging="180"/>
        <w:rPr>
          <w:rFonts w:ascii="Garamond" w:hAnsi="Garamond"/>
          <w:sz w:val="22"/>
          <w:szCs w:val="22"/>
        </w:rPr>
      </w:pPr>
      <w:r>
        <w:rPr>
          <w:rFonts w:ascii="Garamond" w:hAnsi="Garamond"/>
          <w:sz w:val="22"/>
          <w:szCs w:val="22"/>
        </w:rPr>
        <w:t xml:space="preserve">3 Define 3 sensory items which may be used in a sensory diet, and how to safely utilize them.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0.50</w:instrText>
      </w:r>
      <w:r>
        <w:rPr>
          <w:sz w:val="20"/>
          <w:szCs w:val="20"/>
        </w:rPr>
        <w:instrText xml:space="preserve"> &gt; 0 "(</w:instrText>
      </w:r>
      <w:r>
        <w:rPr>
          <w:sz w:val="20"/>
          <w:szCs w:val="20"/>
        </w:rPr>
        <w:instrText>0.50</w:instrText>
      </w:r>
      <w:r>
        <w:rPr>
          <w:sz w:val="20"/>
          <w:szCs w:val="20"/>
        </w:rPr>
        <w:instrText xml:space="preserve"> ANCC contact hour(s)) " "" </w:instrText>
      </w:r>
      <w:r>
        <w:rPr>
          <w:sz w:val="20"/>
          <w:szCs w:val="20"/>
        </w:rPr>
        <w:fldChar w:fldCharType="separate"/>
      </w:r>
      <w:r>
        <w:rPr>
          <w:sz w:val="20"/>
          <w:szCs w:val="20"/>
        </w:rPr>
        <w:t>(</w:t>
      </w:r>
      <w:r>
        <w:rPr>
          <w:sz w:val="20"/>
          <w:szCs w:val="20"/>
        </w:rPr>
        <w:t>0.50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