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37615</w:instrText>
      </w:r>
      <w:r>
        <w:rPr>
          <w:rFonts w:ascii="Garamond" w:hAnsi="Garamond"/>
          <w:bCs/>
        </w:rPr>
        <w:instrText xml:space="preserve"> &lt;&gt; "" "</w:instrText>
      </w:r>
      <w:r>
        <w:rPr>
          <w:rFonts w:ascii="Garamond" w:hAnsi="Garamond"/>
          <w:bCs/>
        </w:rPr>
        <w:instrText>Nursing Grand Rounds Enduring</w:instrText>
      </w:r>
      <w:r>
        <w:rPr>
          <w:rFonts w:ascii="Garamond" w:hAnsi="Garamond"/>
          <w:bCs/>
        </w:rPr>
        <w:instrText>" "</w:instrText>
      </w: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Pr>
          <w:rFonts w:ascii="Garamond" w:hAnsi="Garamond"/>
          <w:bCs/>
        </w:rPr>
        <w:fldChar w:fldCharType="end"/>
      </w:r>
      <w:r>
        <w:rPr>
          <w:rFonts w:ascii="Garamond" w:hAnsi="Garamond"/>
          <w:bCs/>
        </w:rPr>
        <w:instrText xml:space="preserve">" </w:instrText>
      </w:r>
      <w:r>
        <w:rPr>
          <w:rFonts w:ascii="Garamond" w:hAnsi="Garamond"/>
          <w:bCs/>
        </w:rPr>
        <w:fldChar w:fldCharType="separate"/>
      </w:r>
      <w:r>
        <w:rPr>
          <w:rFonts w:ascii="Garamond" w:hAnsi="Garamond"/>
          <w:bCs/>
        </w:rPr>
        <w:t>Nursing Grand Rounds Enduring</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August 28,</w:t>
      </w:r>
      <w:r>
        <w:rPr>
          <w:rFonts w:ascii="Garamond" w:hAnsi="Garamond"/>
          <w:bCs/>
        </w:rPr>
        <w:t xml:space="preserve"> 2025 - 7:00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37615</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instrText>2025 Nursing Grand Rounds Enduring: August 28: BH Fellow Projects: ADHD Education &amp; School Avoid Syndrome</w:instrText>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009240FE">
        <w:rPr>
          <w:rFonts w:ascii="Garamond" w:hAnsi="Garamond"/>
          <w:b/>
        </w:rPr>
        <w:t>Presentation Title:</w:t>
      </w:r>
    </w:p>
    <w:p w:rsidR="009240FE" w:rsidP="009240FE">
      <w:pPr>
        <w:pStyle w:val="ListParagraph"/>
        <w:numPr>
          <w:ilvl w:val="0"/>
          <w:numId w:val="10"/>
        </w:numPr>
        <w:rPr>
          <w:rFonts w:ascii="Garamond" w:hAnsi="Garamond"/>
          <w:bCs/>
        </w:rPr>
      </w:pPr>
      <w:r>
        <w:rPr>
          <w:rFonts w:ascii="Garamond" w:hAnsi="Garamond"/>
          <w:bCs/>
        </w:rPr>
        <w:t>2025 Nursing Grand Rounds Enduring: August 28: BH Fellow Projects: ADHD Education &amp; School Avoid Syndrome</w:t>
      </w:r>
    </w:p>
    <w:p w:rsidR="009240FE" w:rsidP="009240FE">
      <w:pPr>
        <w:rPr>
          <w:rFonts w:ascii="Garamond" w:hAnsi="Garamond"/>
          <w:bCs/>
        </w:rPr>
      </w:pPr>
    </w:p>
    <w:p w:rsidRPr="009240FE" w:rsidP="00E462AF">
      <w:pPr>
        <w:rPr>
          <w:rFonts w:ascii="Garamond" w:hAnsi="Garamond"/>
          <w:bCs/>
        </w:rPr>
      </w:pP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Courtney Bishop,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Susan Copeland, RN, MS, NPD-BC, PED-BC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Tierra Ford, APRN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Lauren Fairchild, MSN, RN, NPD-BC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- 07/30/2025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Rachel Long, CPNP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Lindsey Glaze, PharmD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- 10/15/2024</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1 Define emotionally based school avoidance and recognize its impact on children and families</w:instrText>
      </w:r>
    </w:p>
    <w:p w:rsidR="004777F1">
      <w:pPr>
        <w:bidi w:val="0"/>
        <w:spacing w:after="280" w:afterAutospacing="1"/>
        <w:rPr>
          <w:rFonts w:ascii="Garamond" w:hAnsi="Garamond"/>
          <w:sz w:val="22"/>
          <w:szCs w:val="22"/>
        </w:rPr>
      </w:pPr>
      <w:r>
        <w:rPr>
          <w:rFonts w:ascii="Garamond" w:hAnsi="Garamond"/>
          <w:sz w:val="22"/>
          <w:szCs w:val="22"/>
        </w:rPr>
        <w:instrText xml:space="preserve">2 Describe the significance of EBSA across outpatient and specialty clinical settings. </w:instrText>
      </w:r>
    </w:p>
    <w:p w:rsidR="004777F1">
      <w:pPr>
        <w:bidi w:val="0"/>
        <w:spacing w:after="280" w:afterAutospacing="1"/>
        <w:rPr>
          <w:rFonts w:ascii="Garamond" w:hAnsi="Garamond"/>
          <w:sz w:val="22"/>
          <w:szCs w:val="22"/>
        </w:rPr>
      </w:pPr>
      <w:r>
        <w:rPr>
          <w:rFonts w:ascii="Garamond" w:hAnsi="Garamond"/>
          <w:sz w:val="22"/>
          <w:szCs w:val="22"/>
        </w:rPr>
        <w:instrText xml:space="preserve">3 Summarize the PICOt question and evidence-based findings supporting interventions for EBSA. </w:instrText>
      </w:r>
    </w:p>
    <w:p w:rsidR="004777F1">
      <w:pPr>
        <w:bidi w:val="0"/>
        <w:spacing w:after="280" w:afterAutospacing="1"/>
        <w:rPr>
          <w:rFonts w:ascii="Garamond" w:hAnsi="Garamond"/>
          <w:sz w:val="22"/>
          <w:szCs w:val="22"/>
        </w:rPr>
      </w:pPr>
      <w:r>
        <w:rPr>
          <w:rFonts w:ascii="Garamond" w:hAnsi="Garamond"/>
          <w:sz w:val="22"/>
          <w:szCs w:val="22"/>
        </w:rPr>
        <w:instrText xml:space="preserve">4 Identify key outcomes and confidence levels reported by nursing staff after EBSA education </w:instrText>
      </w:r>
    </w:p>
    <w:p w:rsidR="004777F1">
      <w:pPr>
        <w:bidi w:val="0"/>
        <w:spacing w:after="280" w:afterAutospacing="1"/>
        <w:rPr>
          <w:rFonts w:ascii="Garamond" w:hAnsi="Garamond"/>
          <w:sz w:val="22"/>
          <w:szCs w:val="22"/>
        </w:rPr>
      </w:pPr>
      <w:r>
        <w:rPr>
          <w:rFonts w:ascii="Garamond" w:hAnsi="Garamond"/>
          <w:sz w:val="22"/>
          <w:szCs w:val="22"/>
        </w:rPr>
        <w:instrText xml:space="preserve">5 Describe the significance of EBSA across outpatient and specialty clinical settings. </w:instrText>
      </w:r>
    </w:p>
    <w:p w:rsidR="004777F1">
      <w:pPr>
        <w:bidi w:val="0"/>
        <w:spacing w:after="280" w:afterAutospacing="1"/>
        <w:rPr>
          <w:rFonts w:ascii="Garamond" w:hAnsi="Garamond"/>
          <w:sz w:val="22"/>
          <w:szCs w:val="22"/>
        </w:rPr>
      </w:pPr>
      <w:r>
        <w:rPr>
          <w:rFonts w:ascii="Garamond" w:hAnsi="Garamond"/>
          <w:sz w:val="22"/>
          <w:szCs w:val="22"/>
        </w:rPr>
        <w:instrText xml:space="preserve">6 Describe the role of nursing staff in supporting ADHD diagnosis, psychoeducation, and long-term management. </w:instrText>
      </w:r>
    </w:p>
    <w:p w:rsidR="004777F1">
      <w:pPr>
        <w:bidi w:val="0"/>
        <w:spacing w:after="280" w:afterAutospacing="1"/>
        <w:rPr>
          <w:rFonts w:ascii="Garamond" w:hAnsi="Garamond"/>
          <w:sz w:val="22"/>
          <w:szCs w:val="22"/>
        </w:rPr>
      </w:pPr>
      <w:r>
        <w:rPr>
          <w:rFonts w:ascii="Garamond" w:hAnsi="Garamond"/>
          <w:sz w:val="22"/>
          <w:szCs w:val="22"/>
        </w:rPr>
        <w:instrText xml:space="preserve">7 Identify accessible resources and handouts that can be integrated into clinical workflow and patient discharge planning. </w:instrText>
      </w:r>
    </w:p>
    <w:p w:rsidR="004777F1">
      <w:pPr>
        <w:bidi w:val="0"/>
        <w:spacing w:after="280" w:afterAutospacing="1"/>
        <w:rPr>
          <w:rFonts w:ascii="Garamond" w:hAnsi="Garamond"/>
          <w:sz w:val="22"/>
          <w:szCs w:val="22"/>
        </w:rPr>
      </w:pPr>
      <w:r>
        <w:rPr>
          <w:rFonts w:ascii="Garamond" w:hAnsi="Garamond"/>
          <w:sz w:val="22"/>
          <w:szCs w:val="22"/>
        </w:rPr>
        <w:instrText xml:space="preserve">8 Evaluate the impact of ADHD education on nursing confidence and competency through pre/post survey data. </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Define emotionally based school avoidance and recognize its impact on children and families</w:instrText>
      </w:r>
    </w:p>
    <w:p w:rsidP="004777F1">
      <w:pPr>
        <w:ind w:left="540" w:hanging="180"/>
        <w:rPr>
          <w:rFonts w:ascii="Garamond" w:hAnsi="Garamond"/>
          <w:sz w:val="22"/>
          <w:szCs w:val="22"/>
        </w:rPr>
      </w:pPr>
      <w:r>
        <w:rPr>
          <w:rFonts w:ascii="Garamond" w:hAnsi="Garamond"/>
          <w:sz w:val="22"/>
          <w:szCs w:val="22"/>
        </w:rPr>
        <w:instrText xml:space="preserve">2 Describe the significance of EBSA across outpatient and specialty clinical settings. </w:instrText>
      </w:r>
    </w:p>
    <w:p w:rsidP="004777F1">
      <w:pPr>
        <w:ind w:left="540" w:hanging="180"/>
        <w:rPr>
          <w:rFonts w:ascii="Garamond" w:hAnsi="Garamond"/>
          <w:sz w:val="22"/>
          <w:szCs w:val="22"/>
        </w:rPr>
      </w:pPr>
      <w:r>
        <w:rPr>
          <w:rFonts w:ascii="Garamond" w:hAnsi="Garamond"/>
          <w:sz w:val="22"/>
          <w:szCs w:val="22"/>
        </w:rPr>
        <w:instrText xml:space="preserve">3 Summarize the PICOt question and evidence-based findings supporting interventions for EBSA. </w:instrText>
      </w:r>
    </w:p>
    <w:p w:rsidP="004777F1">
      <w:pPr>
        <w:ind w:left="540" w:hanging="180"/>
        <w:rPr>
          <w:rFonts w:ascii="Garamond" w:hAnsi="Garamond"/>
          <w:sz w:val="22"/>
          <w:szCs w:val="22"/>
        </w:rPr>
      </w:pPr>
      <w:r>
        <w:rPr>
          <w:rFonts w:ascii="Garamond" w:hAnsi="Garamond"/>
          <w:sz w:val="22"/>
          <w:szCs w:val="22"/>
        </w:rPr>
        <w:instrText xml:space="preserve">4 Identify key outcomes and confidence levels reported by nursing staff after EBSA education </w:instrText>
      </w:r>
    </w:p>
    <w:p w:rsidP="004777F1">
      <w:pPr>
        <w:ind w:left="540" w:hanging="180"/>
        <w:rPr>
          <w:rFonts w:ascii="Garamond" w:hAnsi="Garamond"/>
          <w:sz w:val="22"/>
          <w:szCs w:val="22"/>
        </w:rPr>
      </w:pPr>
      <w:r>
        <w:rPr>
          <w:rFonts w:ascii="Garamond" w:hAnsi="Garamond"/>
          <w:sz w:val="22"/>
          <w:szCs w:val="22"/>
        </w:rPr>
        <w:instrText xml:space="preserve">5 Describe the significance of EBSA across outpatient and specialty clinical settings. </w:instrText>
      </w:r>
    </w:p>
    <w:p w:rsidP="004777F1">
      <w:pPr>
        <w:ind w:left="540" w:hanging="180"/>
        <w:rPr>
          <w:rFonts w:ascii="Garamond" w:hAnsi="Garamond"/>
          <w:sz w:val="22"/>
          <w:szCs w:val="22"/>
        </w:rPr>
      </w:pPr>
      <w:r>
        <w:rPr>
          <w:rFonts w:ascii="Garamond" w:hAnsi="Garamond"/>
          <w:sz w:val="22"/>
          <w:szCs w:val="22"/>
        </w:rPr>
        <w:instrText xml:space="preserve">6 Describe the role of nursing staff in supporting ADHD diagnosis, psychoeducation, and long-term management. </w:instrText>
      </w:r>
    </w:p>
    <w:p w:rsidP="004777F1">
      <w:pPr>
        <w:ind w:left="540" w:hanging="180"/>
        <w:rPr>
          <w:rFonts w:ascii="Garamond" w:hAnsi="Garamond"/>
          <w:sz w:val="22"/>
          <w:szCs w:val="22"/>
        </w:rPr>
      </w:pPr>
      <w:r>
        <w:rPr>
          <w:rFonts w:ascii="Garamond" w:hAnsi="Garamond"/>
          <w:sz w:val="22"/>
          <w:szCs w:val="22"/>
        </w:rPr>
        <w:instrText xml:space="preserve">7 Identify accessible resources and handouts that can be integrated into clinical workflow and patient discharge planning. </w:instrText>
      </w:r>
    </w:p>
    <w:p w:rsidP="004777F1">
      <w:pPr>
        <w:ind w:left="540" w:hanging="180"/>
        <w:rPr>
          <w:rFonts w:ascii="Garamond" w:hAnsi="Garamond"/>
          <w:sz w:val="22"/>
          <w:szCs w:val="22"/>
        </w:rPr>
      </w:pPr>
      <w:r>
        <w:rPr>
          <w:rFonts w:ascii="Garamond" w:hAnsi="Garamond"/>
          <w:sz w:val="22"/>
          <w:szCs w:val="22"/>
        </w:rPr>
        <w:instrText xml:space="preserve">8 Evaluate the impact of ADHD education on nursing confidence and competency through pre/post survey data. </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Define emotionally based school avoidance and recognize its impact on children and families</w:t>
      </w:r>
    </w:p>
    <w:p w:rsidP="004777F1">
      <w:pPr>
        <w:ind w:left="540" w:hanging="180"/>
        <w:rPr>
          <w:rFonts w:ascii="Garamond" w:hAnsi="Garamond"/>
          <w:sz w:val="22"/>
          <w:szCs w:val="22"/>
        </w:rPr>
      </w:pPr>
      <w:r>
        <w:rPr>
          <w:rFonts w:ascii="Garamond" w:hAnsi="Garamond"/>
          <w:sz w:val="22"/>
          <w:szCs w:val="22"/>
        </w:rPr>
        <w:t xml:space="preserve">2 Describe the significance of EBSA across outpatient and specialty clinical settings. </w:t>
      </w:r>
    </w:p>
    <w:p w:rsidP="004777F1">
      <w:pPr>
        <w:ind w:left="540" w:hanging="180"/>
        <w:rPr>
          <w:rFonts w:ascii="Garamond" w:hAnsi="Garamond"/>
          <w:sz w:val="22"/>
          <w:szCs w:val="22"/>
        </w:rPr>
      </w:pPr>
      <w:r>
        <w:rPr>
          <w:rFonts w:ascii="Garamond" w:hAnsi="Garamond"/>
          <w:sz w:val="22"/>
          <w:szCs w:val="22"/>
        </w:rPr>
        <w:t xml:space="preserve">3 Summarize the PICOt question and evidence-based findings supporting interventions for EBSA. </w:t>
      </w:r>
    </w:p>
    <w:p w:rsidP="004777F1">
      <w:pPr>
        <w:ind w:left="540" w:hanging="180"/>
        <w:rPr>
          <w:rFonts w:ascii="Garamond" w:hAnsi="Garamond"/>
          <w:sz w:val="22"/>
          <w:szCs w:val="22"/>
        </w:rPr>
      </w:pPr>
      <w:r>
        <w:rPr>
          <w:rFonts w:ascii="Garamond" w:hAnsi="Garamond"/>
          <w:sz w:val="22"/>
          <w:szCs w:val="22"/>
        </w:rPr>
        <w:t xml:space="preserve">4 Identify key outcomes and confidence levels reported by nursing staff after EBSA education </w:t>
      </w:r>
    </w:p>
    <w:p w:rsidP="004777F1">
      <w:pPr>
        <w:ind w:left="540" w:hanging="180"/>
        <w:rPr>
          <w:rFonts w:ascii="Garamond" w:hAnsi="Garamond"/>
          <w:sz w:val="22"/>
          <w:szCs w:val="22"/>
        </w:rPr>
      </w:pPr>
      <w:r>
        <w:rPr>
          <w:rFonts w:ascii="Garamond" w:hAnsi="Garamond"/>
          <w:sz w:val="22"/>
          <w:szCs w:val="22"/>
        </w:rPr>
        <w:t xml:space="preserve">5 Describe the significance of EBSA across outpatient and specialty clinical settings. </w:t>
      </w:r>
    </w:p>
    <w:p w:rsidP="004777F1">
      <w:pPr>
        <w:ind w:left="540" w:hanging="180"/>
        <w:rPr>
          <w:rFonts w:ascii="Garamond" w:hAnsi="Garamond"/>
          <w:sz w:val="22"/>
          <w:szCs w:val="22"/>
        </w:rPr>
      </w:pPr>
      <w:r>
        <w:rPr>
          <w:rFonts w:ascii="Garamond" w:hAnsi="Garamond"/>
          <w:sz w:val="22"/>
          <w:szCs w:val="22"/>
        </w:rPr>
        <w:t xml:space="preserve">6 Describe the role of nursing staff in supporting ADHD diagnosis, psychoeducation, and long-term management. </w:t>
      </w:r>
    </w:p>
    <w:p w:rsidP="004777F1">
      <w:pPr>
        <w:ind w:left="540" w:hanging="180"/>
        <w:rPr>
          <w:rFonts w:ascii="Garamond" w:hAnsi="Garamond"/>
          <w:sz w:val="22"/>
          <w:szCs w:val="22"/>
        </w:rPr>
      </w:pPr>
      <w:r>
        <w:rPr>
          <w:rFonts w:ascii="Garamond" w:hAnsi="Garamond"/>
          <w:sz w:val="22"/>
          <w:szCs w:val="22"/>
        </w:rPr>
        <w:t xml:space="preserve">7 Identify accessible resources and handouts that can be integrated into clinical workflow and patient discharge planning. </w:t>
      </w:r>
    </w:p>
    <w:p w:rsidR="004777F1" w:rsidP="004777F1">
      <w:pPr>
        <w:ind w:left="540" w:hanging="180"/>
        <w:rPr>
          <w:rFonts w:ascii="Garamond" w:hAnsi="Garamond"/>
          <w:sz w:val="22"/>
          <w:szCs w:val="22"/>
        </w:rPr>
      </w:pPr>
      <w:r>
        <w:rPr>
          <w:rFonts w:ascii="Garamond" w:hAnsi="Garamond"/>
          <w:sz w:val="22"/>
          <w:szCs w:val="22"/>
        </w:rPr>
        <w:t xml:space="preserve">8 Evaluate the impact of ADHD education on nursing confidence and competency through pre/post survey data. </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ANCC contact hour(s)) " "" </w:instrText>
      </w:r>
      <w:r>
        <w:rPr>
          <w:sz w:val="20"/>
          <w:szCs w:val="20"/>
        </w:rPr>
        <w:fldChar w:fldCharType="separate"/>
      </w:r>
      <w:r>
        <w:rPr>
          <w:sz w:val="20"/>
          <w:szCs w:val="20"/>
        </w:rPr>
        <w:t>(</w:t>
      </w:r>
      <w:r>
        <w:rPr>
          <w:sz w:val="20"/>
          <w:szCs w:val="20"/>
        </w:rPr>
        <w:t>1.00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w:instrText>
      </w:r>
      <w:r>
        <w:rPr>
          <w:sz w:val="20"/>
          <w:szCs w:val="20"/>
        </w:rPr>
        <w:instrText>MA</w:instrText>
      </w:r>
      <w:r>
        <w:rPr>
          <w:sz w:val="20"/>
          <w:szCs w:val="20"/>
        </w:rPr>
        <w:instrText xml:space="preserve">HoursMax \# 0.00# </w:instrText>
      </w:r>
      <w:r>
        <w:rPr>
          <w:sz w:val="20"/>
          <w:szCs w:val="20"/>
        </w:rPr>
        <w:fldChar w:fldCharType="separate"/>
      </w:r>
      <w:r>
        <w:rPr>
          <w:sz w:val="20"/>
          <w:szCs w:val="20"/>
        </w:rPr>
        <w:fldChar w:fldCharType="end"/>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ActivityFormat </w:instrText>
      </w:r>
      <w:r>
        <w:rPr>
          <w:sz w:val="20"/>
          <w:szCs w:val="20"/>
        </w:rPr>
        <w:fldChar w:fldCharType="separate"/>
      </w:r>
      <w:r>
        <w:rPr>
          <w:sz w:val="20"/>
          <w:szCs w:val="20"/>
        </w:rPr>
        <w:fldChar w:fldCharType="end"/>
      </w:r>
      <w:r>
        <w:rPr>
          <w:sz w:val="20"/>
          <w:szCs w:val="20"/>
        </w:rPr>
        <w:instrText xml:space="preserve"> &lt;&gt; "" "</w:instrText>
      </w:r>
      <w:r>
        <w:rPr>
          <w:sz w:val="20"/>
          <w:szCs w:val="20"/>
        </w:rPr>
        <w:fldChar w:fldCharType="begin"/>
      </w:r>
      <w:r>
        <w:rPr>
          <w:sz w:val="20"/>
          <w:szCs w:val="20"/>
        </w:rPr>
        <w:instrText xml:space="preserve"> MERGEFIELD ActivityFormat \* Lower </w:instrText>
      </w:r>
      <w:r>
        <w:rPr>
          <w:sz w:val="20"/>
          <w:szCs w:val="20"/>
        </w:rPr>
        <w:fldChar w:fldCharType="separate"/>
      </w:r>
      <w:r>
        <w:rPr>
          <w:sz w:val="20"/>
          <w:szCs w:val="20"/>
        </w:rPr>
        <w:fldChar w:fldCharType="end"/>
      </w:r>
      <w:r>
        <w:rPr>
          <w:sz w:val="20"/>
          <w:szCs w:val="20"/>
        </w:rPr>
        <w:instrText xml:space="preserve">" "activity" </w:instrText>
      </w:r>
      <w:r>
        <w:rPr>
          <w:sz w:val="20"/>
          <w:szCs w:val="20"/>
        </w:rPr>
        <w:fldChar w:fldCharType="separate"/>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fldChar w:fldCharType="begin"/>
      </w:r>
      <w:r>
        <w:rPr>
          <w:sz w:val="20"/>
          <w:szCs w:val="20"/>
        </w:rPr>
        <w:instrText xml:space="preserve"> MERGEFIELD AMAHoursMax \# 0.00# </w:instrText>
      </w:r>
      <w:r>
        <w:rPr>
          <w:sz w:val="20"/>
          <w:szCs w:val="20"/>
        </w:rPr>
        <w:fldChar w:fldCharType="separate"/>
      </w:r>
      <w:r>
        <w:rPr>
          <w:sz w:val="20"/>
          <w:szCs w:val="20"/>
        </w:rPr>
        <w:fldChar w:fldCharType="end"/>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fldChar w:fldCharType="end"/>
      </w:r>
      <w:r w:rsidRPr="00207F0D">
        <w:rPr>
          <w:noProof/>
          <w:sz w:val="20"/>
        </w:rPr>
        <w:fldChar w:fldCharType="begin"/>
      </w:r>
      <w:r w:rsidRPr="00207F0D">
        <w:rPr>
          <w:noProof/>
          <w:sz w:val="20"/>
        </w:rPr>
        <w:instrText xml:space="preserve"> IF </w:instrText>
      </w:r>
      <w:r w:rsidRPr="00207F0D">
        <w:rPr>
          <w:noProof/>
          <w:sz w:val="20"/>
        </w:rPr>
        <w:instrText>1.00</w:instrText>
      </w:r>
      <w:r w:rsidRPr="00207F0D">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instrText>1.00</w:instrText>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60288"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2068229816"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t xml:space="preserve">This activity was planned by and for the healthcare team, and learners will receive </w:t>
      </w:r>
      <w:r w:rsidRPr="00207F0D">
        <w:rPr>
          <w:noProof/>
          <w:sz w:val="20"/>
        </w:rPr>
        <w:t>1.00</w:t>
      </w:r>
      <w:r w:rsidRPr="00207F0D">
        <w:rPr>
          <w:noProof/>
          <w:sz w:val="20"/>
        </w:rPr>
        <w:t xml:space="preserve"> Interprofessional Continuing Education (IPCE) credit(s) for learning and change.</w:t>
      </w:r>
    </w:p>
    <w:p w:rsidR="009F7D61" w:rsidP="00EA24D0">
      <w:pPr>
        <w:rPr>
          <w:noProof/>
          <w:sz w:val="20"/>
        </w:rPr>
      </w:pPr>
    </w:p>
    <w:p w:rsidRPr="00207F0D" w:rsidP="00EA24D0">
      <w:pPr>
        <w:rPr>
          <w:noProof/>
          <w:sz w:val="20"/>
        </w:rPr>
      </w:pP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1.00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p>
    <w:p w:rsidR="00EA24D0" w:rsidRPr="00207F0D" w:rsidP="00EA24D0">
      <w:pPr>
        <w:rPr>
          <w:noProof/>
          <w:sz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34837072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t xml:space="preserve">Nationwide Children's Hospital has been authorized by the American Academy of PAs (AAPA) to award AAPA Category 1 CME credit for activities planned in accordance with AAPA CME Criteria. This activity is designated for </w:t>
      </w:r>
      <w:r w:rsidRPr="00207F0D">
        <w:rPr>
          <w:rFonts w:asciiTheme="minorHAnsi" w:hAnsiTheme="minorHAnsi"/>
          <w:noProof/>
          <w:sz w:val="20"/>
          <w:szCs w:val="20"/>
        </w:rPr>
        <w:t>1.00</w:t>
      </w:r>
      <w:r w:rsidRPr="00207F0D">
        <w:rPr>
          <w:rFonts w:asciiTheme="minorHAnsi" w:hAnsiTheme="minorHAnsi"/>
          <w:noProof/>
          <w:sz w:val="20"/>
          <w:szCs w:val="20"/>
        </w:rPr>
        <w:t xml:space="preserve"> AAPA Category 1 CME credit(s). Approval is valid for 2 years from the date of the activity. PAs should only claim credit commensurate with the extent of their participation.</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fldChar w:fldCharType="begin"/>
      </w:r>
      <w:r w:rsidRPr="00207F0D">
        <w:rPr>
          <w:rFonts w:asciiTheme="minorHAnsi" w:hAnsiTheme="minorHAnsi"/>
          <w:sz w:val="20"/>
          <w:szCs w:val="20"/>
        </w:rPr>
        <w:instrText xml:space="preserve"> MERGEFIELD ASWBHOURSMax \# 0.00# </w:instrText>
      </w:r>
      <w:r w:rsidRPr="00207F0D">
        <w:rPr>
          <w:rFonts w:asciiTheme="minorHAnsi" w:hAnsiTheme="minorHAnsi"/>
          <w:sz w:val="20"/>
          <w:szCs w:val="20"/>
        </w:rPr>
        <w:fldChar w:fldCharType="separate"/>
      </w:r>
      <w:r w:rsidRPr="00207F0D">
        <w:rPr>
          <w:rFonts w:asciiTheme="minorHAnsi" w:hAnsiTheme="minorHAnsi"/>
          <w:noProof/>
          <w:sz w:val="20"/>
          <w:szCs w:val="20"/>
        </w:rPr>
        <w:instrText>«ASWBHOURSMax»</w:instrText>
      </w:r>
      <w:r w:rsidRPr="00207F0D">
        <w:rPr>
          <w:rFonts w:asciiTheme="minorHAnsi" w:hAnsiTheme="minorHAnsi"/>
          <w:sz w:val="20"/>
          <w:szCs w:val="20"/>
        </w:rPr>
        <w:fldChar w:fldCharType="end"/>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7456"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